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7FB60ACA" w:rsidR="00EA23BE" w:rsidRPr="008B7E51" w:rsidRDefault="00EA23BE" w:rsidP="00EA23BE">
      <w:pPr>
        <w:pStyle w:val="3GPPHeader"/>
        <w:spacing w:after="60"/>
        <w:rPr>
          <w:sz w:val="32"/>
          <w:szCs w:val="32"/>
          <w:highlight w:val="yellow"/>
        </w:rPr>
      </w:pPr>
      <w:r w:rsidRPr="008B7E51">
        <w:t>3GPP TSG-RAN WG2 #</w:t>
      </w:r>
      <w:r w:rsidR="00B67CA9" w:rsidRPr="008B7E51">
        <w:t>1</w:t>
      </w:r>
      <w:r w:rsidR="00A22384" w:rsidRPr="008B7E51">
        <w:t>3</w:t>
      </w:r>
      <w:r w:rsidR="00B00DBB" w:rsidRPr="008B7E51">
        <w:t>2</w:t>
      </w:r>
      <w:r w:rsidRPr="008B7E51">
        <w:tab/>
      </w:r>
      <w:r w:rsidR="00661896" w:rsidRPr="00661896">
        <w:rPr>
          <w:sz w:val="32"/>
          <w:szCs w:val="32"/>
        </w:rPr>
        <w:t>R2-2508744</w:t>
      </w:r>
    </w:p>
    <w:p w14:paraId="78D51D91" w14:textId="2A469965" w:rsidR="00192705" w:rsidRPr="008B7E51" w:rsidRDefault="00F42A87" w:rsidP="00EA23BE">
      <w:pPr>
        <w:tabs>
          <w:tab w:val="left" w:pos="1979"/>
        </w:tabs>
        <w:spacing w:afterLines="50" w:after="120" w:line="240" w:lineRule="atLeast"/>
        <w:rPr>
          <w:rFonts w:cs="Arial"/>
          <w:b/>
          <w:bCs/>
          <w:sz w:val="24"/>
          <w:szCs w:val="24"/>
          <w:lang w:eastAsia="en-US"/>
        </w:rPr>
      </w:pPr>
      <w:r w:rsidRPr="008B7E51">
        <w:rPr>
          <w:b/>
          <w:bCs/>
          <w:sz w:val="24"/>
          <w:szCs w:val="22"/>
        </w:rPr>
        <w:t xml:space="preserve">Dallas, US, </w:t>
      </w:r>
      <w:r w:rsidR="00636042" w:rsidRPr="008B7E51">
        <w:rPr>
          <w:b/>
          <w:bCs/>
          <w:sz w:val="24"/>
          <w:szCs w:val="22"/>
        </w:rPr>
        <w:t xml:space="preserve">November </w:t>
      </w:r>
      <w:r w:rsidRPr="008B7E51">
        <w:rPr>
          <w:b/>
          <w:bCs/>
          <w:sz w:val="24"/>
          <w:szCs w:val="22"/>
        </w:rPr>
        <w:t>17</w:t>
      </w:r>
      <w:r w:rsidR="00636042" w:rsidRPr="00744B76">
        <w:rPr>
          <w:b/>
          <w:bCs/>
          <w:sz w:val="24"/>
          <w:szCs w:val="22"/>
          <w:vertAlign w:val="superscript"/>
        </w:rPr>
        <w:t>th</w:t>
      </w:r>
      <w:r w:rsidR="00636042" w:rsidRPr="008B7E51">
        <w:rPr>
          <w:b/>
          <w:bCs/>
          <w:sz w:val="24"/>
          <w:szCs w:val="22"/>
        </w:rPr>
        <w:t xml:space="preserve"> – </w:t>
      </w:r>
      <w:r w:rsidRPr="008B7E51">
        <w:rPr>
          <w:b/>
          <w:bCs/>
          <w:sz w:val="24"/>
          <w:szCs w:val="22"/>
        </w:rPr>
        <w:t>21</w:t>
      </w:r>
      <w:r w:rsidR="00636042" w:rsidRPr="00744B76">
        <w:rPr>
          <w:b/>
          <w:bCs/>
          <w:sz w:val="24"/>
          <w:szCs w:val="22"/>
          <w:vertAlign w:val="superscript"/>
        </w:rPr>
        <w:t>st</w:t>
      </w:r>
      <w:r w:rsidR="00624CBA" w:rsidRPr="008B7E51">
        <w:rPr>
          <w:b/>
          <w:bCs/>
          <w:sz w:val="24"/>
          <w:szCs w:val="22"/>
        </w:rPr>
        <w:t>,</w:t>
      </w:r>
      <w:r w:rsidR="00BD674A" w:rsidRPr="008B7E51">
        <w:rPr>
          <w:b/>
          <w:bCs/>
          <w:sz w:val="24"/>
          <w:szCs w:val="22"/>
        </w:rPr>
        <w:t xml:space="preserve"> 202</w:t>
      </w:r>
      <w:r w:rsidR="00EC300C" w:rsidRPr="008B7E51">
        <w:rPr>
          <w:b/>
          <w:bCs/>
          <w:sz w:val="24"/>
          <w:szCs w:val="22"/>
        </w:rPr>
        <w:t>5</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2DC4D9F" w14:textId="77777777" w:rsidR="00192705" w:rsidRPr="008B7E51" w:rsidRDefault="00192705" w:rsidP="00192705">
      <w:pPr>
        <w:tabs>
          <w:tab w:val="left" w:pos="1979"/>
        </w:tabs>
        <w:spacing w:afterLines="50" w:after="120" w:line="240" w:lineRule="atLeast"/>
        <w:rPr>
          <w:rFonts w:cs="Arial"/>
          <w:b/>
          <w:bCs/>
          <w:sz w:val="24"/>
          <w:szCs w:val="24"/>
          <w:lang w:eastAsia="en-US"/>
        </w:rPr>
      </w:pPr>
    </w:p>
    <w:p w14:paraId="245F3153" w14:textId="549F148C" w:rsidR="00DF0DEE" w:rsidRPr="008B7E51" w:rsidRDefault="00655AA5" w:rsidP="00F6287E">
      <w:pPr>
        <w:pStyle w:val="3GPPHeader"/>
        <w:rPr>
          <w:rFonts w:cs="Arial"/>
          <w:sz w:val="22"/>
          <w:szCs w:val="22"/>
        </w:rPr>
      </w:pPr>
      <w:r w:rsidRPr="008A56F5">
        <w:rPr>
          <w:rFonts w:eastAsia="MS Mincho" w:cs="Arial"/>
          <w:sz w:val="22"/>
          <w:szCs w:val="22"/>
        </w:rPr>
        <w:t xml:space="preserve">Agenda </w:t>
      </w:r>
      <w:r w:rsidRPr="008A56F5">
        <w:rPr>
          <w:rFonts w:cs="Arial"/>
          <w:sz w:val="22"/>
          <w:szCs w:val="22"/>
        </w:rPr>
        <w:t>item:</w:t>
      </w:r>
      <w:proofErr w:type="gramStart"/>
      <w:r w:rsidR="00DF0DEE" w:rsidRPr="008A56F5">
        <w:rPr>
          <w:rFonts w:cs="Arial"/>
          <w:sz w:val="22"/>
          <w:szCs w:val="22"/>
        </w:rPr>
        <w:tab/>
        <w:t xml:space="preserve">  </w:t>
      </w:r>
      <w:r w:rsidR="000B3361" w:rsidRPr="007701AD">
        <w:rPr>
          <w:rFonts w:cs="Arial"/>
          <w:sz w:val="22"/>
          <w:szCs w:val="22"/>
        </w:rPr>
        <w:t>9.3.2</w:t>
      </w:r>
      <w:proofErr w:type="gramEnd"/>
    </w:p>
    <w:p w14:paraId="789A8FAB" w14:textId="72F3F2B9" w:rsidR="00192705" w:rsidRPr="008A56F5" w:rsidRDefault="00192705" w:rsidP="00DF0DEE">
      <w:pPr>
        <w:keepNext/>
        <w:keepLines/>
        <w:tabs>
          <w:tab w:val="left" w:pos="1979"/>
        </w:tabs>
        <w:rPr>
          <w:rFonts w:cs="Arial"/>
          <w:b/>
          <w:szCs w:val="22"/>
          <w:lang w:eastAsia="en-US"/>
        </w:rPr>
      </w:pPr>
      <w:r w:rsidRPr="008A56F5">
        <w:rPr>
          <w:rFonts w:cs="Arial"/>
          <w:b/>
          <w:szCs w:val="22"/>
          <w:lang w:eastAsia="en-US"/>
        </w:rPr>
        <w:t xml:space="preserve">Source: </w:t>
      </w:r>
      <w:r w:rsidRPr="008A56F5">
        <w:rPr>
          <w:rFonts w:cs="Arial"/>
          <w:b/>
          <w:szCs w:val="22"/>
          <w:lang w:eastAsia="en-US"/>
        </w:rPr>
        <w:tab/>
        <w:t>Ericsson</w:t>
      </w:r>
    </w:p>
    <w:p w14:paraId="5C869B30" w14:textId="0FB92F49" w:rsidR="00192705" w:rsidRPr="008A56F5" w:rsidRDefault="00192705" w:rsidP="00192705">
      <w:pPr>
        <w:tabs>
          <w:tab w:val="left" w:pos="1979"/>
        </w:tabs>
        <w:spacing w:afterLines="50" w:after="120" w:line="240" w:lineRule="atLeast"/>
        <w:ind w:leftChars="1" w:left="2016" w:hangingChars="823" w:hanging="2014"/>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Discussion on RRM Measurement Prediction</w:t>
      </w:r>
    </w:p>
    <w:p w14:paraId="1B10EE90" w14:textId="77777777" w:rsidR="00192705" w:rsidRPr="008A56F5" w:rsidRDefault="00192705" w:rsidP="00192705">
      <w:pPr>
        <w:tabs>
          <w:tab w:val="left" w:pos="1979"/>
        </w:tabs>
        <w:spacing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6357FE">
      <w:pPr>
        <w:pStyle w:val="Heading1"/>
        <w:rPr>
          <w:lang w:eastAsia="zh-CN"/>
        </w:rPr>
      </w:pPr>
      <w:bookmarkStart w:id="0" w:name="_Ref165266342"/>
      <w:r w:rsidRPr="008B7E51">
        <w:rPr>
          <w:lang w:eastAsia="zh-CN"/>
        </w:rPr>
        <w:t>Introduction</w:t>
      </w:r>
      <w:bookmarkEnd w:id="0"/>
    </w:p>
    <w:p w14:paraId="4384F57A" w14:textId="7237FCCD" w:rsidR="00582880" w:rsidRPr="008B7E51" w:rsidRDefault="00F0058D" w:rsidP="007701AD">
      <w:r w:rsidRPr="008B7E51">
        <w:rPr>
          <w:rFonts w:cs="Arial"/>
        </w:rPr>
        <w:t>Rel-20 Work Item RP-252899 [1]</w:t>
      </w:r>
      <w:r w:rsidR="00D27FA8" w:rsidRPr="008B7E51">
        <w:rPr>
          <w:rFonts w:cs="Arial"/>
        </w:rPr>
        <w:t xml:space="preserve"> </w:t>
      </w:r>
      <w:r w:rsidR="001C3825" w:rsidRPr="008B7E51">
        <w:rPr>
          <w:rFonts w:cs="Arial"/>
        </w:rPr>
        <w:t>includes</w:t>
      </w:r>
      <w:r w:rsidR="00D27FA8" w:rsidRPr="008B7E51">
        <w:rPr>
          <w:rFonts w:cs="Arial"/>
        </w:rPr>
        <w:t xml:space="preserve"> the objectives which will be treated during the Rel-20 activity. In this contribution we will focus </w:t>
      </w:r>
      <w:r w:rsidR="00DB731D" w:rsidRPr="008B7E51">
        <w:rPr>
          <w:rFonts w:cs="Arial"/>
        </w:rPr>
        <w:t xml:space="preserve">on the part related to the </w:t>
      </w:r>
      <w:r w:rsidR="008B7E51" w:rsidRPr="008B7E51">
        <w:rPr>
          <w:rFonts w:cs="Arial"/>
        </w:rPr>
        <w:t xml:space="preserve">partial and full inference configuration configurations, </w:t>
      </w:r>
      <w:r w:rsidR="00602DC4" w:rsidRPr="008B7E51">
        <w:rPr>
          <w:rFonts w:cs="Arial"/>
        </w:rPr>
        <w:t>toggling</w:t>
      </w:r>
      <w:r w:rsidR="008B7E51" w:rsidRPr="008B7E51">
        <w:rPr>
          <w:rFonts w:cs="Arial"/>
        </w:rPr>
        <w:t xml:space="preserve"> between inference and legacy RRM configuration as well as </w:t>
      </w:r>
      <w:r w:rsidR="008B7E51">
        <w:rPr>
          <w:rFonts w:cs="Arial"/>
        </w:rPr>
        <w:t xml:space="preserve">L3 filtering process when </w:t>
      </w:r>
      <w:r w:rsidR="00602DC4">
        <w:rPr>
          <w:rFonts w:cs="Arial"/>
        </w:rPr>
        <w:t>measurements and predictions are used together for RRM purpose</w:t>
      </w:r>
      <w:r w:rsidR="00DB731D" w:rsidRPr="008B7E51">
        <w:rPr>
          <w:rFonts w:cs="Arial"/>
        </w:rPr>
        <w:t>.</w:t>
      </w:r>
    </w:p>
    <w:p w14:paraId="3832D9F9" w14:textId="49258496" w:rsidR="00167CBA" w:rsidRPr="008B7E51" w:rsidRDefault="004000E8" w:rsidP="00167CBA">
      <w:pPr>
        <w:pStyle w:val="Heading1"/>
        <w:rPr>
          <w:rStyle w:val="Emphasis"/>
          <w:i w:val="0"/>
          <w:iCs w:val="0"/>
        </w:rPr>
      </w:pPr>
      <w:bookmarkStart w:id="1" w:name="_Ref178064866"/>
      <w:bookmarkStart w:id="2" w:name="_Ref117485385"/>
      <w:r w:rsidRPr="008B7E51">
        <w:rPr>
          <w:rStyle w:val="Emphasis"/>
          <w:i w:val="0"/>
          <w:iCs w:val="0"/>
        </w:rPr>
        <w:t>Discussion</w:t>
      </w:r>
      <w:bookmarkEnd w:id="1"/>
      <w:bookmarkEnd w:id="2"/>
    </w:p>
    <w:p w14:paraId="566585AD" w14:textId="6FB629E2" w:rsidR="005748EC" w:rsidRPr="008B7E51" w:rsidRDefault="00044A35" w:rsidP="007701AD">
      <w:pPr>
        <w:pStyle w:val="Heading2"/>
      </w:pPr>
      <w:r w:rsidRPr="003409C3">
        <w:t xml:space="preserve">Considerations on applicability </w:t>
      </w:r>
      <w:r w:rsidR="002F5BE2" w:rsidRPr="008B7E51">
        <w:t>and inference configuration handling</w:t>
      </w:r>
    </w:p>
    <w:p w14:paraId="27EE248C" w14:textId="6553D32B" w:rsidR="005D74CA" w:rsidRPr="008B7E51" w:rsidRDefault="00C1686D" w:rsidP="005D74CA">
      <w:r w:rsidRPr="008B7E51">
        <w:t xml:space="preserve">In the following we discuss </w:t>
      </w:r>
      <w:r w:rsidR="00A57E13" w:rsidRPr="008B7E51">
        <w:t xml:space="preserve">different aspects concerning the </w:t>
      </w:r>
      <w:r w:rsidR="00F75F27" w:rsidRPr="008B7E51">
        <w:t xml:space="preserve">LCM procedure </w:t>
      </w:r>
      <w:r w:rsidR="00206596" w:rsidRPr="008B7E51">
        <w:t>in particular handling inference configuration</w:t>
      </w:r>
      <w:r w:rsidR="00BC6AC2" w:rsidRPr="008B7E51">
        <w:t xml:space="preserve">s </w:t>
      </w:r>
      <w:r w:rsidR="00C60ABD" w:rsidRPr="008B7E51">
        <w:t xml:space="preserve">in conjunction with its applicability status. </w:t>
      </w:r>
      <w:bookmarkStart w:id="3" w:name="_Toc206062422"/>
      <w:bookmarkStart w:id="4" w:name="_Toc205444873"/>
      <w:bookmarkStart w:id="5" w:name="_Toc205444945"/>
      <w:bookmarkStart w:id="6" w:name="_Toc205445017"/>
      <w:bookmarkStart w:id="7" w:name="_Toc205445222"/>
      <w:bookmarkStart w:id="8" w:name="_Toc205445385"/>
      <w:bookmarkStart w:id="9" w:name="_Toc205446813"/>
      <w:bookmarkStart w:id="10" w:name="_Toc205466494"/>
      <w:bookmarkStart w:id="11" w:name="_Toc205530606"/>
      <w:bookmarkStart w:id="12" w:name="_Toc205444874"/>
      <w:bookmarkStart w:id="13" w:name="_Toc205444946"/>
      <w:bookmarkStart w:id="14" w:name="_Toc205445018"/>
      <w:bookmarkStart w:id="15" w:name="_Toc205445223"/>
      <w:bookmarkStart w:id="16" w:name="_Toc205445386"/>
      <w:bookmarkStart w:id="17" w:name="_Toc205446814"/>
      <w:bookmarkStart w:id="18" w:name="_Toc205466495"/>
      <w:bookmarkStart w:id="19" w:name="_Toc2055306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6495BC" w14:textId="6AF45772" w:rsidR="00A670EC" w:rsidRPr="008B7E51" w:rsidRDefault="00A550DA" w:rsidP="005D74CA">
      <w:pPr>
        <w:rPr>
          <w:b/>
          <w:bCs/>
          <w:u w:val="single"/>
        </w:rPr>
      </w:pPr>
      <w:r w:rsidRPr="007701AD">
        <w:rPr>
          <w:b/>
          <w:bCs/>
          <w:u w:val="single"/>
        </w:rPr>
        <w:t xml:space="preserve">Full and </w:t>
      </w:r>
      <w:r w:rsidRPr="008B7E51">
        <w:rPr>
          <w:b/>
          <w:bCs/>
          <w:u w:val="single"/>
        </w:rPr>
        <w:t>p</w:t>
      </w:r>
      <w:r w:rsidR="00681F1E" w:rsidRPr="008B7E51">
        <w:rPr>
          <w:b/>
          <w:bCs/>
          <w:u w:val="single"/>
        </w:rPr>
        <w:t xml:space="preserve">artial </w:t>
      </w:r>
      <w:r w:rsidR="00025FA3" w:rsidRPr="008B7E51">
        <w:rPr>
          <w:b/>
          <w:bCs/>
          <w:u w:val="single"/>
        </w:rPr>
        <w:t xml:space="preserve">inference </w:t>
      </w:r>
      <w:r w:rsidR="00681F1E" w:rsidRPr="008B7E51">
        <w:rPr>
          <w:b/>
          <w:bCs/>
          <w:u w:val="single"/>
        </w:rPr>
        <w:t>configuration</w:t>
      </w:r>
    </w:p>
    <w:p w14:paraId="64E10363" w14:textId="33BAEF2C" w:rsidR="00415BBE" w:rsidRPr="008B7E51" w:rsidRDefault="00A550DA" w:rsidP="00415BBE">
      <w:pPr>
        <w:jc w:val="both"/>
      </w:pPr>
      <w:r w:rsidRPr="008B7E51">
        <w:t>Full configuration</w:t>
      </w:r>
      <w:r w:rsidR="00415BBE" w:rsidRPr="008B7E51">
        <w:t xml:space="preserve"> refers to the scenario when the UE receives the full inference configuration from the network </w:t>
      </w:r>
      <w:r w:rsidR="009E29DE" w:rsidRPr="008B7E51">
        <w:t>and</w:t>
      </w:r>
      <w:r w:rsidR="00415BBE" w:rsidRPr="008B7E51">
        <w:t xml:space="preserve"> based on that, the applicability is reported</w:t>
      </w:r>
      <w:r w:rsidR="009E29DE" w:rsidRPr="008B7E51">
        <w:t>.</w:t>
      </w:r>
      <w:r w:rsidR="00415BBE" w:rsidRPr="008B7E51">
        <w:t xml:space="preserve"> </w:t>
      </w:r>
      <w:r w:rsidR="009E29DE" w:rsidRPr="008B7E51">
        <w:t>Alternatively</w:t>
      </w:r>
      <w:r w:rsidR="00415BBE" w:rsidRPr="008B7E51">
        <w:t xml:space="preserve">, </w:t>
      </w:r>
      <w:r w:rsidR="00054F31" w:rsidRPr="008B7E51">
        <w:t>for</w:t>
      </w:r>
      <w:r w:rsidR="006D0937" w:rsidRPr="008B7E51">
        <w:t xml:space="preserve"> the partial configuration scenario,</w:t>
      </w:r>
      <w:r w:rsidR="00415BBE" w:rsidRPr="008B7E51">
        <w:t xml:space="preserve"> </w:t>
      </w:r>
      <w:r w:rsidR="00900B3F" w:rsidRPr="008B7E51">
        <w:t xml:space="preserve">the intention is that </w:t>
      </w:r>
      <w:r w:rsidR="00415BBE" w:rsidRPr="008B7E51">
        <w:t xml:space="preserve">the UE receives a subset of the inference configuration </w:t>
      </w:r>
      <w:r w:rsidR="00900B3F" w:rsidRPr="008B7E51">
        <w:t>(so-called as</w:t>
      </w:r>
      <w:r w:rsidR="00415BBE" w:rsidRPr="008B7E51">
        <w:t xml:space="preserve"> partial configuration) and </w:t>
      </w:r>
      <w:r w:rsidR="00900B3F" w:rsidRPr="008B7E51">
        <w:t>determines whether the AI/ML model</w:t>
      </w:r>
      <w:r w:rsidR="00415BBE" w:rsidRPr="008B7E51">
        <w:t xml:space="preserve"> is applicable</w:t>
      </w:r>
      <w:r w:rsidR="00900B3F" w:rsidRPr="008B7E51">
        <w:t xml:space="preserve"> or a change in configuration is required</w:t>
      </w:r>
      <w:r w:rsidR="00415BBE" w:rsidRPr="008B7E51">
        <w:t>.</w:t>
      </w:r>
    </w:p>
    <w:p w14:paraId="274BE800" w14:textId="39B30D4E" w:rsidR="00415BBE" w:rsidRPr="008B7E51" w:rsidRDefault="005A44A2" w:rsidP="00415BBE">
      <w:pPr>
        <w:jc w:val="both"/>
      </w:pPr>
      <w:r w:rsidRPr="008B7E51">
        <w:t xml:space="preserve">We understand that full and partial configuration is supported in Rel-19 AI/ML PHY beam management use case, however </w:t>
      </w:r>
      <w:r w:rsidR="006323A0" w:rsidRPr="008B7E51">
        <w:t xml:space="preserve">in our understanding </w:t>
      </w:r>
      <w:r w:rsidRPr="008B7E51">
        <w:t>there is not much difference on configured parameters between full and partial configuration for AI/ML PHY beam management. Therefore, it is necessary to clarify the rationale for adopting the partial configuration</w:t>
      </w:r>
      <w:r w:rsidR="00B10608" w:rsidRPr="008B7E51">
        <w:t xml:space="preserve"> for AI/ML for mobility</w:t>
      </w:r>
      <w:r w:rsidRPr="008B7E51">
        <w:t xml:space="preserve">. </w:t>
      </w:r>
      <w:r w:rsidR="00415BBE" w:rsidRPr="008B7E51">
        <w:t xml:space="preserve">It is expected that an agreement on the selection of the inference parameters to use </w:t>
      </w:r>
      <w:r w:rsidR="00562397" w:rsidRPr="008B7E51">
        <w:t>for the partial configuration</w:t>
      </w:r>
      <w:r w:rsidR="00415BBE" w:rsidRPr="008B7E51">
        <w:t xml:space="preserve"> require</w:t>
      </w:r>
      <w:r w:rsidR="00A969AE" w:rsidRPr="008B7E51">
        <w:t>s</w:t>
      </w:r>
      <w:r w:rsidR="00415BBE" w:rsidRPr="008B7E51">
        <w:t xml:space="preserve"> a lot of discussion in RAN2 and, considering </w:t>
      </w:r>
      <w:r w:rsidR="00342DBB" w:rsidRPr="008B7E51">
        <w:t xml:space="preserve">that </w:t>
      </w:r>
      <w:r w:rsidR="00415BBE" w:rsidRPr="008B7E51">
        <w:t>the definition of the full inference configuration for the different type</w:t>
      </w:r>
      <w:r w:rsidR="00B10608" w:rsidRPr="008B7E51">
        <w:t>s</w:t>
      </w:r>
      <w:r w:rsidR="00415BBE" w:rsidRPr="008B7E51">
        <w:t xml:space="preserve"> of prediction is not completed, we propose to finalize the definition of the full inference configuration before discussing </w:t>
      </w:r>
      <w:r w:rsidR="00A969AE" w:rsidRPr="008B7E51">
        <w:t xml:space="preserve">the partial </w:t>
      </w:r>
      <w:r w:rsidR="00AF366D" w:rsidRPr="008B7E51">
        <w:t xml:space="preserve">inference </w:t>
      </w:r>
      <w:r w:rsidR="00A969AE" w:rsidRPr="008B7E51">
        <w:t>configuratio</w:t>
      </w:r>
      <w:r w:rsidR="001019A8" w:rsidRPr="008B7E51">
        <w:t>n</w:t>
      </w:r>
      <w:r w:rsidR="00C70FA2" w:rsidRPr="008B7E51">
        <w:t>.</w:t>
      </w:r>
    </w:p>
    <w:p w14:paraId="26100538" w14:textId="7A3DA543" w:rsidR="00415BBE" w:rsidRPr="008B7E51" w:rsidRDefault="00415BBE" w:rsidP="00415BBE">
      <w:pPr>
        <w:pStyle w:val="Proposal"/>
      </w:pPr>
      <w:bookmarkStart w:id="20" w:name="_Toc212804278"/>
      <w:r w:rsidRPr="008B7E51">
        <w:t xml:space="preserve">RAN2 first discuss full inference configuration, before discussing </w:t>
      </w:r>
      <w:r w:rsidR="00354C6F" w:rsidRPr="008B7E51">
        <w:t>partial inference configuration</w:t>
      </w:r>
      <w:r w:rsidRPr="008B7E51">
        <w:t>.</w:t>
      </w:r>
      <w:bookmarkEnd w:id="20"/>
    </w:p>
    <w:p w14:paraId="4FA4F82E" w14:textId="5A857857" w:rsidR="00415BBE" w:rsidRPr="008B7E51" w:rsidRDefault="00447EC4" w:rsidP="00415BBE">
      <w:pPr>
        <w:pStyle w:val="Proposal"/>
      </w:pPr>
      <w:bookmarkStart w:id="21" w:name="_Toc212804279"/>
      <w:r w:rsidRPr="008B7E51">
        <w:t>Before</w:t>
      </w:r>
      <w:r w:rsidR="008E1504" w:rsidRPr="008B7E51">
        <w:t xml:space="preserve"> support</w:t>
      </w:r>
      <w:r w:rsidR="00EF47AC" w:rsidRPr="008B7E51">
        <w:t>ing</w:t>
      </w:r>
      <w:r w:rsidR="008E1504" w:rsidRPr="008B7E51">
        <w:t xml:space="preserve"> partial inference configuration, RAN2 </w:t>
      </w:r>
      <w:r w:rsidRPr="008B7E51">
        <w:t xml:space="preserve">should </w:t>
      </w:r>
      <w:r w:rsidR="00B10608" w:rsidRPr="008B7E51">
        <w:t xml:space="preserve">discuss </w:t>
      </w:r>
      <w:r w:rsidR="00D2570C" w:rsidRPr="008B7E51">
        <w:t xml:space="preserve">whether </w:t>
      </w:r>
      <w:r w:rsidRPr="008B7E51">
        <w:t>there is any</w:t>
      </w:r>
      <w:r w:rsidR="00C70FA2" w:rsidRPr="008B7E51">
        <w:t xml:space="preserve"> </w:t>
      </w:r>
      <w:r w:rsidR="00B22907" w:rsidRPr="008B7E51">
        <w:t>meaningful</w:t>
      </w:r>
      <w:r w:rsidR="00D21D5A" w:rsidRPr="008B7E51">
        <w:t xml:space="preserve"> difference </w:t>
      </w:r>
      <w:r w:rsidR="00B10608" w:rsidRPr="008B7E51">
        <w:t>between</w:t>
      </w:r>
      <w:r w:rsidR="00311377" w:rsidRPr="008B7E51">
        <w:t xml:space="preserve"> </w:t>
      </w:r>
      <w:r w:rsidR="00463E5D" w:rsidRPr="008B7E51">
        <w:t>full and partial configuration</w:t>
      </w:r>
      <w:r w:rsidRPr="008B7E51">
        <w:t>s</w:t>
      </w:r>
      <w:r w:rsidR="00B10608" w:rsidRPr="008B7E51">
        <w:t>.</w:t>
      </w:r>
      <w:bookmarkEnd w:id="21"/>
    </w:p>
    <w:p w14:paraId="46E8EDFF" w14:textId="77777777" w:rsidR="00415BBE" w:rsidRPr="008B7E51" w:rsidRDefault="00415BBE" w:rsidP="005D74CA"/>
    <w:p w14:paraId="234BFB74" w14:textId="55DB20DD" w:rsidR="0073704F" w:rsidRPr="008B7E51" w:rsidRDefault="0073704F" w:rsidP="005D74CA">
      <w:pPr>
        <w:rPr>
          <w:b/>
          <w:bCs/>
          <w:u w:val="single"/>
        </w:rPr>
      </w:pPr>
      <w:r w:rsidRPr="008B7E51">
        <w:rPr>
          <w:b/>
          <w:bCs/>
          <w:u w:val="single"/>
        </w:rPr>
        <w:t xml:space="preserve">Toggling between inference </w:t>
      </w:r>
      <w:r w:rsidR="00355725" w:rsidRPr="008B7E51">
        <w:rPr>
          <w:b/>
          <w:bCs/>
          <w:u w:val="single"/>
        </w:rPr>
        <w:t xml:space="preserve">configuration </w:t>
      </w:r>
      <w:r w:rsidRPr="008B7E51">
        <w:rPr>
          <w:b/>
          <w:bCs/>
          <w:u w:val="single"/>
        </w:rPr>
        <w:t xml:space="preserve">and legacy RRM </w:t>
      </w:r>
      <w:r w:rsidR="0078118F" w:rsidRPr="008B7E51">
        <w:rPr>
          <w:b/>
          <w:bCs/>
          <w:u w:val="single"/>
        </w:rPr>
        <w:t>measurement</w:t>
      </w:r>
      <w:r w:rsidR="00355725" w:rsidRPr="008B7E51">
        <w:rPr>
          <w:b/>
          <w:bCs/>
          <w:u w:val="single"/>
        </w:rPr>
        <w:t xml:space="preserve"> configuration</w:t>
      </w:r>
    </w:p>
    <w:p w14:paraId="0957CDD7" w14:textId="6598C41C" w:rsidR="00EB0B05" w:rsidRPr="008B7E51" w:rsidRDefault="005A4062" w:rsidP="00977A44">
      <w:pPr>
        <w:jc w:val="both"/>
      </w:pPr>
      <w:r w:rsidRPr="008B7E51">
        <w:lastRenderedPageBreak/>
        <w:t>Concerning</w:t>
      </w:r>
      <w:r w:rsidR="00115BDE" w:rsidRPr="008B7E51">
        <w:t xml:space="preserve"> the app</w:t>
      </w:r>
      <w:r w:rsidR="009C0396" w:rsidRPr="008B7E51">
        <w:t xml:space="preserve">licability reporting for the AI/ML for Mobility use case, AI for PHY agreements </w:t>
      </w:r>
      <w:proofErr w:type="gramStart"/>
      <w:r w:rsidR="009C0396" w:rsidRPr="008B7E51">
        <w:t>are</w:t>
      </w:r>
      <w:proofErr w:type="gramEnd"/>
      <w:r w:rsidR="009C0396" w:rsidRPr="008B7E51">
        <w:t xml:space="preserve"> taken as baseline</w:t>
      </w:r>
      <w:r w:rsidR="00737831" w:rsidRPr="008B7E51">
        <w:t>.</w:t>
      </w:r>
      <w:r w:rsidR="009C0396" w:rsidRPr="008B7E51">
        <w:t xml:space="preserve"> </w:t>
      </w:r>
      <w:r w:rsidR="00737831" w:rsidRPr="008B7E51">
        <w:t>H</w:t>
      </w:r>
      <w:r w:rsidR="009C0396" w:rsidRPr="008B7E51">
        <w:t xml:space="preserve">owever, we think there is a substantial difference between AI for PHY and AI for Mobility. In AI for PHY the existing mechanism in activating and deactivating the CSI reports based on the measurement and/or prediction is very handy and helps in </w:t>
      </w:r>
      <w:r w:rsidR="002A5F2E" w:rsidRPr="008B7E51">
        <w:t>designing</w:t>
      </w:r>
      <w:r w:rsidR="009C0396" w:rsidRPr="008B7E51">
        <w:t xml:space="preserve"> the solution merely based on applicability reporting. </w:t>
      </w:r>
      <w:r w:rsidR="000A5644" w:rsidRPr="008B7E51">
        <w:t>However</w:t>
      </w:r>
      <w:r w:rsidR="00FE4DBE" w:rsidRPr="008B7E51">
        <w:t>,</w:t>
      </w:r>
      <w:r w:rsidR="000A5644" w:rsidRPr="008B7E51">
        <w:t xml:space="preserve"> in AI for Mobility upon receiving an applicability reporting indicating that AI based functionality is not applicable, network should </w:t>
      </w:r>
      <w:r w:rsidR="003D067D" w:rsidRPr="008B7E51">
        <w:t xml:space="preserve">use RRC signal to reconfigure the UE with the </w:t>
      </w:r>
      <w:r w:rsidR="0075141A" w:rsidRPr="008B7E51">
        <w:t xml:space="preserve">legacy RRM </w:t>
      </w:r>
      <w:r w:rsidR="00BD27A5" w:rsidRPr="008B7E51">
        <w:t>measurements</w:t>
      </w:r>
      <w:r w:rsidR="0075141A" w:rsidRPr="008B7E51">
        <w:t xml:space="preserve">. This might become a bottleneck </w:t>
      </w:r>
      <w:r w:rsidR="00F274D5" w:rsidRPr="008B7E51">
        <w:t>as the UE might bounce between applicability and non-applicability often</w:t>
      </w:r>
      <w:r w:rsidR="00EC62EE" w:rsidRPr="008B7E51">
        <w:t>, causing a signalling increase over air interface</w:t>
      </w:r>
      <w:r w:rsidR="00893C72" w:rsidRPr="008B7E51">
        <w:t>.</w:t>
      </w:r>
    </w:p>
    <w:p w14:paraId="088073B8" w14:textId="37D1A24E" w:rsidR="00EB0B05" w:rsidRPr="008B7E51" w:rsidRDefault="006659A9" w:rsidP="00EB0B05">
      <w:pPr>
        <w:pStyle w:val="Observation"/>
      </w:pPr>
      <w:bookmarkStart w:id="22" w:name="_Toc212804276"/>
      <w:r w:rsidRPr="008B7E51">
        <w:t xml:space="preserve">Unlike AI for Beam Management, where the </w:t>
      </w:r>
      <w:proofErr w:type="spellStart"/>
      <w:r w:rsidRPr="008B7E51">
        <w:t>gNB</w:t>
      </w:r>
      <w:proofErr w:type="spellEnd"/>
      <w:r w:rsidRPr="008B7E51">
        <w:t xml:space="preserve"> can </w:t>
      </w:r>
      <w:r w:rsidR="00140C31" w:rsidRPr="008B7E51">
        <w:t>(</w:t>
      </w:r>
      <w:r w:rsidRPr="008B7E51">
        <w:t>de</w:t>
      </w:r>
      <w:r w:rsidR="00140C31" w:rsidRPr="008B7E51">
        <w:t>)</w:t>
      </w:r>
      <w:r w:rsidRPr="008B7E51">
        <w:t xml:space="preserve">activate the inference via </w:t>
      </w:r>
      <w:r w:rsidR="00062ABD" w:rsidRPr="008B7E51">
        <w:t>existing</w:t>
      </w:r>
      <w:r w:rsidRPr="008B7E51">
        <w:t xml:space="preserve"> MAC CE, </w:t>
      </w:r>
      <w:r w:rsidR="00140C31" w:rsidRPr="008B7E51">
        <w:t>(</w:t>
      </w:r>
      <w:r w:rsidR="00C75BD2" w:rsidRPr="008B7E51">
        <w:t>de</w:t>
      </w:r>
      <w:r w:rsidR="00140C31" w:rsidRPr="008B7E51">
        <w:t>)</w:t>
      </w:r>
      <w:r w:rsidR="00C75BD2" w:rsidRPr="008B7E51">
        <w:t xml:space="preserve">activation of </w:t>
      </w:r>
      <w:r w:rsidRPr="008B7E51">
        <w:t>AI for Mobility requires an RRC reconfiguration</w:t>
      </w:r>
      <w:r w:rsidR="00DC2834" w:rsidRPr="008B7E51">
        <w:t xml:space="preserve"> which </w:t>
      </w:r>
      <w:r w:rsidRPr="008B7E51">
        <w:t>mak</w:t>
      </w:r>
      <w:r w:rsidR="00DC2834" w:rsidRPr="008B7E51">
        <w:t>es</w:t>
      </w:r>
      <w:r w:rsidRPr="008B7E51">
        <w:t xml:space="preserve"> </w:t>
      </w:r>
      <w:r w:rsidR="00140C31" w:rsidRPr="008B7E51">
        <w:t>(</w:t>
      </w:r>
      <w:r w:rsidRPr="008B7E51">
        <w:t>de</w:t>
      </w:r>
      <w:r w:rsidR="00140C31" w:rsidRPr="008B7E51">
        <w:t>)</w:t>
      </w:r>
      <w:r w:rsidRPr="008B7E51">
        <w:t xml:space="preserve">activation more costly, </w:t>
      </w:r>
      <w:proofErr w:type="gramStart"/>
      <w:r w:rsidR="00140C31" w:rsidRPr="008B7E51">
        <w:t>in particular</w:t>
      </w:r>
      <w:r w:rsidRPr="008B7E51">
        <w:t xml:space="preserve"> if</w:t>
      </w:r>
      <w:proofErr w:type="gramEnd"/>
      <w:r w:rsidRPr="008B7E51">
        <w:t xml:space="preserve"> the UE frequently </w:t>
      </w:r>
      <w:r w:rsidR="00EB4F9B" w:rsidRPr="008B7E51">
        <w:t>switches</w:t>
      </w:r>
      <w:r w:rsidRPr="008B7E51">
        <w:t xml:space="preserve"> between applicable and non-applicable states.</w:t>
      </w:r>
      <w:bookmarkEnd w:id="22"/>
    </w:p>
    <w:p w14:paraId="37DC7F61" w14:textId="77777777" w:rsidR="00B00DBB" w:rsidRPr="008B7E51" w:rsidRDefault="00B00DBB" w:rsidP="00EB0B05"/>
    <w:p w14:paraId="04FB042F" w14:textId="66CF3DD7" w:rsidR="00B9236B" w:rsidRPr="008B7E51" w:rsidRDefault="00F274D5" w:rsidP="00977A44">
      <w:pPr>
        <w:jc w:val="both"/>
      </w:pPr>
      <w:r w:rsidRPr="008B7E51">
        <w:t>Instead</w:t>
      </w:r>
      <w:r w:rsidR="00DC670A" w:rsidRPr="008B7E51">
        <w:t>,</w:t>
      </w:r>
      <w:r w:rsidRPr="008B7E51">
        <w:t xml:space="preserve"> we think network should be able to pre-configure the UE with legacy RRM measur</w:t>
      </w:r>
      <w:r w:rsidR="00FE4DBE" w:rsidRPr="008B7E51">
        <w:t>e</w:t>
      </w:r>
      <w:r w:rsidRPr="008B7E51">
        <w:t>ment</w:t>
      </w:r>
      <w:r w:rsidR="00FE4DBE" w:rsidRPr="008B7E51">
        <w:t xml:space="preserve"> configuration </w:t>
      </w:r>
      <w:r w:rsidRPr="008B7E51">
        <w:t xml:space="preserve">as well as </w:t>
      </w:r>
      <w:r w:rsidR="00FE4DBE" w:rsidRPr="008B7E51">
        <w:t>inference configurations</w:t>
      </w:r>
      <w:r w:rsidRPr="008B7E51">
        <w:t xml:space="preserve"> </w:t>
      </w:r>
      <w:r w:rsidR="00FE4DBE" w:rsidRPr="008B7E51">
        <w:t xml:space="preserve">to avoid unnecessary signalling and unnecessary </w:t>
      </w:r>
      <w:r w:rsidR="003005F9" w:rsidRPr="008B7E51">
        <w:t>coordination</w:t>
      </w:r>
      <w:r w:rsidR="00FE4DBE" w:rsidRPr="008B7E51">
        <w:t xml:space="preserve"> upon change of the applicability status. </w:t>
      </w:r>
    </w:p>
    <w:p w14:paraId="4F52CE5E" w14:textId="320255FA" w:rsidR="00B36474" w:rsidRPr="008B7E51" w:rsidRDefault="00B36474" w:rsidP="00977A44">
      <w:pPr>
        <w:jc w:val="both"/>
      </w:pPr>
      <w:r w:rsidRPr="008B7E51">
        <w:t>In this approach</w:t>
      </w:r>
      <w:r w:rsidR="003B2D79" w:rsidRPr="008B7E51">
        <w:t>,</w:t>
      </w:r>
      <w:r w:rsidRPr="008B7E51">
        <w:t xml:space="preserve"> the UE should be able to </w:t>
      </w:r>
      <w:r w:rsidR="00F57FD2" w:rsidRPr="008B7E51">
        <w:t xml:space="preserve">toggle between different configurations (legacy RRM measurement configuration and inference configuration) depending on the applicability status. </w:t>
      </w:r>
    </w:p>
    <w:p w14:paraId="0BE1D673" w14:textId="5FB9E6DC" w:rsidR="00F57FD2" w:rsidRPr="008B7E51" w:rsidRDefault="00F57FD2" w:rsidP="00977A44">
      <w:pPr>
        <w:pStyle w:val="ListParagraph"/>
        <w:numPr>
          <w:ilvl w:val="0"/>
          <w:numId w:val="62"/>
        </w:numPr>
        <w:jc w:val="both"/>
        <w:rPr>
          <w:lang w:val="en-GB"/>
        </w:rPr>
      </w:pPr>
      <w:r w:rsidRPr="008B7E51">
        <w:rPr>
          <w:lang w:val="en-GB"/>
        </w:rPr>
        <w:t xml:space="preserve">If the </w:t>
      </w:r>
      <w:r w:rsidR="00A372BF" w:rsidRPr="008B7E51">
        <w:rPr>
          <w:lang w:val="en-GB"/>
        </w:rPr>
        <w:t>infere</w:t>
      </w:r>
      <w:r w:rsidR="006170B1" w:rsidRPr="008B7E51">
        <w:rPr>
          <w:lang w:val="en-GB"/>
        </w:rPr>
        <w:t>nc</w:t>
      </w:r>
      <w:r w:rsidR="00A372BF" w:rsidRPr="008B7E51">
        <w:rPr>
          <w:lang w:val="en-GB"/>
        </w:rPr>
        <w:t xml:space="preserve">e configuration becomes inapplicable, the UE falls back to the (preconfigured) RRM </w:t>
      </w:r>
      <w:r w:rsidR="00766025" w:rsidRPr="008B7E51">
        <w:rPr>
          <w:lang w:val="en-GB"/>
        </w:rPr>
        <w:t>measurement</w:t>
      </w:r>
      <w:r w:rsidR="00A372BF" w:rsidRPr="008B7E51">
        <w:rPr>
          <w:lang w:val="en-GB"/>
        </w:rPr>
        <w:t xml:space="preserve"> configuration and performs measurements</w:t>
      </w:r>
    </w:p>
    <w:p w14:paraId="05E696EB" w14:textId="27A10806" w:rsidR="00A372BF" w:rsidRPr="008B7E51" w:rsidRDefault="00A372BF" w:rsidP="00977A44">
      <w:pPr>
        <w:pStyle w:val="ListParagraph"/>
        <w:numPr>
          <w:ilvl w:val="0"/>
          <w:numId w:val="62"/>
        </w:numPr>
        <w:jc w:val="both"/>
        <w:rPr>
          <w:lang w:val="en-GB"/>
        </w:rPr>
      </w:pPr>
      <w:r w:rsidRPr="008B7E51">
        <w:rPr>
          <w:lang w:val="en-GB"/>
        </w:rPr>
        <w:t xml:space="preserve">If the </w:t>
      </w:r>
      <w:r w:rsidR="00DE5D36" w:rsidRPr="008B7E51">
        <w:rPr>
          <w:lang w:val="en-GB"/>
        </w:rPr>
        <w:t xml:space="preserve">inference </w:t>
      </w:r>
      <w:r w:rsidR="00766025" w:rsidRPr="008B7E51">
        <w:rPr>
          <w:lang w:val="en-GB"/>
        </w:rPr>
        <w:t>configuration</w:t>
      </w:r>
      <w:r w:rsidRPr="008B7E51">
        <w:rPr>
          <w:lang w:val="en-GB"/>
        </w:rPr>
        <w:t xml:space="preserve"> becomes applicable, the UE switches to the (pre-configured)</w:t>
      </w:r>
      <w:r w:rsidR="00E600D0" w:rsidRPr="008B7E51">
        <w:rPr>
          <w:lang w:val="en-GB"/>
        </w:rPr>
        <w:t xml:space="preserve"> inference configuration </w:t>
      </w:r>
      <w:r w:rsidR="00237B16" w:rsidRPr="008B7E51">
        <w:rPr>
          <w:lang w:val="en-GB"/>
        </w:rPr>
        <w:t>and performs predictions.</w:t>
      </w:r>
      <w:r w:rsidR="00E600D0" w:rsidRPr="008B7E51">
        <w:rPr>
          <w:lang w:val="en-GB"/>
        </w:rPr>
        <w:t xml:space="preserve"> </w:t>
      </w:r>
    </w:p>
    <w:p w14:paraId="6863650B" w14:textId="71DF39C5" w:rsidR="005D74CA" w:rsidRPr="008B7E51" w:rsidRDefault="005E52F6" w:rsidP="00607F03">
      <w:pPr>
        <w:pStyle w:val="ListParagraph"/>
        <w:numPr>
          <w:ilvl w:val="0"/>
          <w:numId w:val="62"/>
        </w:numPr>
        <w:jc w:val="both"/>
        <w:rPr>
          <w:lang w:val="en-GB"/>
        </w:rPr>
      </w:pPr>
      <w:r w:rsidRPr="008B7E51">
        <w:rPr>
          <w:lang w:val="en-GB"/>
        </w:rPr>
        <w:t xml:space="preserve">Sending applicability indication </w:t>
      </w:r>
      <w:r w:rsidR="00B502B6" w:rsidRPr="008B7E51">
        <w:rPr>
          <w:lang w:val="en-GB"/>
        </w:rPr>
        <w:t xml:space="preserve">when toggling between RRM </w:t>
      </w:r>
      <w:r w:rsidR="00766025" w:rsidRPr="008B7E51">
        <w:rPr>
          <w:lang w:val="en-GB"/>
        </w:rPr>
        <w:t>measurements</w:t>
      </w:r>
      <w:r w:rsidR="00B502B6" w:rsidRPr="008B7E51">
        <w:rPr>
          <w:lang w:val="en-GB"/>
        </w:rPr>
        <w:t xml:space="preserve"> and/or </w:t>
      </w:r>
      <w:r w:rsidR="006170B1" w:rsidRPr="008B7E51">
        <w:rPr>
          <w:lang w:val="en-GB"/>
        </w:rPr>
        <w:t xml:space="preserve">prediction configurations should be optionally configured by the network via </w:t>
      </w:r>
      <w:proofErr w:type="spellStart"/>
      <w:r w:rsidR="006170B1" w:rsidRPr="008B7E51">
        <w:rPr>
          <w:i/>
          <w:lang w:val="en-GB"/>
        </w:rPr>
        <w:t>otherConfig</w:t>
      </w:r>
      <w:proofErr w:type="spellEnd"/>
      <w:r w:rsidR="006170B1" w:rsidRPr="008B7E51">
        <w:rPr>
          <w:lang w:val="en-GB"/>
        </w:rPr>
        <w:t xml:space="preserve">. </w:t>
      </w:r>
    </w:p>
    <w:p w14:paraId="7B86995E" w14:textId="77777777" w:rsidR="00ED0AA1" w:rsidRPr="008B7E51" w:rsidRDefault="00ED0AA1" w:rsidP="00C85144">
      <w:pPr>
        <w:jc w:val="both"/>
      </w:pPr>
    </w:p>
    <w:p w14:paraId="17C407ED" w14:textId="611A0A2A" w:rsidR="00DE5D36" w:rsidRPr="008B7E51" w:rsidRDefault="006170B1" w:rsidP="006170B1">
      <w:pPr>
        <w:jc w:val="both"/>
      </w:pPr>
      <w:r w:rsidRPr="008B7E51">
        <w:t>Therefore</w:t>
      </w:r>
      <w:r w:rsidR="00DE5D36" w:rsidRPr="008B7E51">
        <w:t>,</w:t>
      </w:r>
      <w:r w:rsidRPr="008B7E51">
        <w:t xml:space="preserve"> we propose the following</w:t>
      </w:r>
      <w:r w:rsidR="000469E2" w:rsidRPr="008B7E51">
        <w:t>:</w:t>
      </w:r>
    </w:p>
    <w:p w14:paraId="48DADD46" w14:textId="7C30CDDD" w:rsidR="00237B16" w:rsidRPr="008B7E51" w:rsidRDefault="00DE5D36" w:rsidP="00237B16">
      <w:pPr>
        <w:pStyle w:val="Proposal"/>
      </w:pPr>
      <w:bookmarkStart w:id="23" w:name="_Toc212804280"/>
      <w:r w:rsidRPr="008B7E51">
        <w:t>RAN2 discuss</w:t>
      </w:r>
      <w:r w:rsidR="006D6176" w:rsidRPr="008B7E51">
        <w:t xml:space="preserve"> UE</w:t>
      </w:r>
      <w:r w:rsidR="006D4A93" w:rsidRPr="008B7E51">
        <w:t>’s</w:t>
      </w:r>
      <w:r w:rsidR="00794B03" w:rsidRPr="008B7E51">
        <w:t xml:space="preserve"> </w:t>
      </w:r>
      <w:r w:rsidR="00074B66" w:rsidRPr="008B7E51">
        <w:t>toggling</w:t>
      </w:r>
      <w:r w:rsidRPr="008B7E51">
        <w:t xml:space="preserve"> mechanism </w:t>
      </w:r>
      <w:r w:rsidR="00074B66" w:rsidRPr="008B7E51">
        <w:t xml:space="preserve">between preconfigured legacy RRM </w:t>
      </w:r>
      <w:r w:rsidR="009D19DF" w:rsidRPr="008B7E51">
        <w:t>measurements</w:t>
      </w:r>
      <w:r w:rsidR="002424E7" w:rsidRPr="008B7E51">
        <w:t xml:space="preserve"> configuration</w:t>
      </w:r>
      <w:r w:rsidR="00074B66" w:rsidRPr="008B7E51">
        <w:t xml:space="preserve"> and inference configuratio</w:t>
      </w:r>
      <w:r w:rsidR="009D19DF" w:rsidRPr="008B7E51">
        <w:t>n based on applicability status</w:t>
      </w:r>
      <w:r w:rsidR="009F009E" w:rsidRPr="008B7E51">
        <w:t>.</w:t>
      </w:r>
      <w:bookmarkStart w:id="24" w:name="_Toc212804281"/>
      <w:bookmarkEnd w:id="23"/>
      <w:bookmarkEnd w:id="24"/>
    </w:p>
    <w:p w14:paraId="4213B39C" w14:textId="3622C98B" w:rsidR="00237B16" w:rsidRPr="008B7E51" w:rsidRDefault="00237B16" w:rsidP="00237B16">
      <w:pPr>
        <w:pStyle w:val="Proposal"/>
        <w:numPr>
          <w:ilvl w:val="0"/>
          <w:numId w:val="75"/>
        </w:numPr>
      </w:pPr>
      <w:bookmarkStart w:id="25" w:name="_Toc212804282"/>
      <w:r w:rsidRPr="008B7E51">
        <w:t xml:space="preserve">If the inference configuration becomes inapplicable, the UE </w:t>
      </w:r>
      <w:r w:rsidR="004F779D" w:rsidRPr="008B7E51">
        <w:t xml:space="preserve">immediately </w:t>
      </w:r>
      <w:r w:rsidR="00123485" w:rsidRPr="008B7E51">
        <w:t>applies</w:t>
      </w:r>
      <w:r w:rsidRPr="008B7E51">
        <w:t xml:space="preserve"> the preconfigured measurement configuration and </w:t>
      </w:r>
      <w:r w:rsidR="004F779D" w:rsidRPr="008B7E51">
        <w:t>performs</w:t>
      </w:r>
      <w:r w:rsidRPr="008B7E51">
        <w:t xml:space="preserve"> legacy measurements.</w:t>
      </w:r>
      <w:bookmarkEnd w:id="25"/>
    </w:p>
    <w:p w14:paraId="295210A7" w14:textId="30953682" w:rsidR="00237B16" w:rsidRPr="008B7E51" w:rsidRDefault="00237B16" w:rsidP="00CE7767">
      <w:pPr>
        <w:pStyle w:val="Proposal"/>
        <w:numPr>
          <w:ilvl w:val="0"/>
          <w:numId w:val="75"/>
        </w:numPr>
      </w:pPr>
      <w:bookmarkStart w:id="26" w:name="_Toc212804283"/>
      <w:r w:rsidRPr="008B7E51">
        <w:t xml:space="preserve">If the inference configuration becomes applicable, the UE immediately </w:t>
      </w:r>
      <w:r w:rsidR="00123485" w:rsidRPr="008B7E51">
        <w:t>applies</w:t>
      </w:r>
      <w:r w:rsidRPr="008B7E51">
        <w:t xml:space="preserve"> the</w:t>
      </w:r>
      <w:r w:rsidR="00B14C79" w:rsidRPr="008B7E51">
        <w:t xml:space="preserve"> preconfigured</w:t>
      </w:r>
      <w:r w:rsidRPr="008B7E51">
        <w:t xml:space="preserve"> inference configuration i.e., stop </w:t>
      </w:r>
      <w:r w:rsidR="00B14C79" w:rsidRPr="008B7E51">
        <w:t xml:space="preserve">legacy </w:t>
      </w:r>
      <w:r w:rsidRPr="008B7E51">
        <w:t>measurements and start predictions.</w:t>
      </w:r>
      <w:bookmarkEnd w:id="26"/>
    </w:p>
    <w:p w14:paraId="0256C874" w14:textId="0FB39A18" w:rsidR="006D4EF6" w:rsidRPr="008A56F5" w:rsidRDefault="007529BB" w:rsidP="006D4EF6">
      <w:pPr>
        <w:pStyle w:val="Heading2"/>
      </w:pPr>
      <w:bookmarkStart w:id="27" w:name="_Toc206062442"/>
      <w:bookmarkStart w:id="28" w:name="_Toc212804284"/>
      <w:bookmarkStart w:id="29" w:name="_Toc212804285"/>
      <w:bookmarkEnd w:id="27"/>
      <w:bookmarkEnd w:id="28"/>
      <w:bookmarkEnd w:id="29"/>
      <w:r w:rsidRPr="008A56F5">
        <w:t>Associated ID</w:t>
      </w:r>
    </w:p>
    <w:p w14:paraId="76449668" w14:textId="07F09D7B" w:rsidR="00F026CF" w:rsidRPr="008B7E51" w:rsidRDefault="007529BB" w:rsidP="008A56F5">
      <w:pPr>
        <w:jc w:val="both"/>
        <w:rPr>
          <w:lang w:eastAsia="zh-CN"/>
        </w:rPr>
      </w:pPr>
      <w:r w:rsidRPr="008B7E51">
        <w:rPr>
          <w:lang w:eastAsia="zh-CN"/>
        </w:rPr>
        <w:t xml:space="preserve">During the SI phase, the associated ID was discussed but it has been left to WI phase to decide whether and how to configure associated ID in AI/ML for mobility. </w:t>
      </w:r>
    </w:p>
    <w:p w14:paraId="5E797B58" w14:textId="16A61191" w:rsidR="00253F31" w:rsidRPr="008B7E51" w:rsidRDefault="001A0547">
      <w:pPr>
        <w:jc w:val="both"/>
      </w:pPr>
      <w:r w:rsidRPr="008B7E51">
        <w:rPr>
          <w:lang w:eastAsia="zh-CN"/>
        </w:rPr>
        <w:t xml:space="preserve">The intention of the associated ID is to ensure the consistency between the training and the inference with network side condition changes. In AI for PHY, associated ID indicates the properties of a DL Tx beam or beam set/list associated with set A and set B. </w:t>
      </w:r>
      <w:r w:rsidR="00022B63" w:rsidRPr="008B7E51">
        <w:t>However, there is a substantial difference between AI for PHY and AI for mobility</w:t>
      </w:r>
      <w:r w:rsidR="007A6F25" w:rsidRPr="008B7E51">
        <w:t>:</w:t>
      </w:r>
      <w:r w:rsidR="00221385" w:rsidRPr="008B7E51">
        <w:t xml:space="preserve"> associated ID in AI for PHY is necessary to indicate the beam pattern for UE to perform predication and applicability reporting, whereas the discussion in AI for mobility is more about changes in network coverage for each cell/frequency or between different cells/frequencies. </w:t>
      </w:r>
      <w:r w:rsidR="00253F31" w:rsidRPr="008B7E51">
        <w:t>In an example</w:t>
      </w:r>
      <w:r w:rsidR="00CE7767" w:rsidRPr="008B7E51">
        <w:t>,</w:t>
      </w:r>
      <w:r w:rsidR="00253F31" w:rsidRPr="008B7E51">
        <w:t xml:space="preserve"> consistency issue</w:t>
      </w:r>
      <w:r w:rsidR="0002555D" w:rsidRPr="008B7E51">
        <w:t xml:space="preserve"> (during </w:t>
      </w:r>
      <w:r w:rsidR="00C50CBF" w:rsidRPr="008B7E51">
        <w:t>training and inference</w:t>
      </w:r>
      <w:r w:rsidR="0002555D" w:rsidRPr="008B7E51">
        <w:t>) might</w:t>
      </w:r>
      <w:r w:rsidR="00253F31" w:rsidRPr="008B7E51">
        <w:t xml:space="preserve"> stem from energy-saving policies in the network, where more cells might be active and providing coverage and </w:t>
      </w:r>
      <w:r w:rsidR="00253F31" w:rsidRPr="008B7E51">
        <w:lastRenderedPageBreak/>
        <w:t>capacity during model training, while some of the capacity cells may be turned off during inference which makes the neighbour cell’s prediction</w:t>
      </w:r>
      <w:r w:rsidR="00751BDB" w:rsidRPr="008B7E51">
        <w:t xml:space="preserve">. </w:t>
      </w:r>
    </w:p>
    <w:p w14:paraId="37E4D2B8" w14:textId="037FDA9B" w:rsidR="001A3367" w:rsidRPr="008B7E51" w:rsidRDefault="001A3367" w:rsidP="001A3367">
      <w:pPr>
        <w:pStyle w:val="Observation"/>
      </w:pPr>
      <w:r w:rsidRPr="008B7E51">
        <w:t>Unlike AI for PHY, where consistency issues (during training and inference) stem mainly from beam properties, in AI for Mobility, consistency issues are primarily associated with the changes in network coverage (during training and inference).</w:t>
      </w:r>
    </w:p>
    <w:p w14:paraId="3B94B596" w14:textId="2DD777CD" w:rsidR="001A3367" w:rsidRPr="008B7E51" w:rsidRDefault="001A3367" w:rsidP="008A56F5">
      <w:pPr>
        <w:pStyle w:val="Observation"/>
      </w:pPr>
      <w:r w:rsidRPr="008B7E51">
        <w:t>In an example, consistency issue stems from energy-saving policies in the network, where more cells might be active and providing coverage and capacity during model training, while some of the capacity cells may be turned off during inference which makes the neighbour cell’s prediction</w:t>
      </w:r>
      <w:r w:rsidR="00C635CB">
        <w:t xml:space="preserve"> </w:t>
      </w:r>
      <w:r w:rsidR="00C439B6">
        <w:t>inconsistent</w:t>
      </w:r>
      <w:r w:rsidRPr="008B7E51">
        <w:t xml:space="preserve">.  </w:t>
      </w:r>
    </w:p>
    <w:p w14:paraId="2499BC22" w14:textId="676DAD0B" w:rsidR="00682099" w:rsidRPr="008B7E51" w:rsidRDefault="00751BDB">
      <w:pPr>
        <w:jc w:val="both"/>
        <w:rPr>
          <w:lang w:eastAsia="zh-CN"/>
        </w:rPr>
      </w:pPr>
      <w:r w:rsidRPr="008B7E51">
        <w:t>However</w:t>
      </w:r>
      <w:r w:rsidR="00043FB3" w:rsidRPr="008B7E51">
        <w:t>,</w:t>
      </w:r>
      <w:r w:rsidRPr="008B7E51">
        <w:t xml:space="preserve"> we think the UE can detect such inconsistencies </w:t>
      </w:r>
      <w:r w:rsidR="00D15FF9" w:rsidRPr="008B7E51">
        <w:t>through</w:t>
      </w:r>
      <w:r w:rsidRPr="008B7E51">
        <w:t xml:space="preserve"> proprietary </w:t>
      </w:r>
      <w:r w:rsidR="00097DFC" w:rsidRPr="008B7E51">
        <w:t>mechanisms locally</w:t>
      </w:r>
      <w:r w:rsidRPr="008B7E51">
        <w:t xml:space="preserve"> at the UE or with the help of </w:t>
      </w:r>
      <w:r w:rsidR="00043FB3" w:rsidRPr="008B7E51">
        <w:t>over-the-top</w:t>
      </w:r>
      <w:r w:rsidRPr="008B7E51">
        <w:t xml:space="preserve"> server. In such solutions the UE can perform measurements and scan the network environment (e.g.,</w:t>
      </w:r>
      <w:r w:rsidR="0024025A" w:rsidRPr="008B7E51">
        <w:t xml:space="preserve"> by</w:t>
      </w:r>
      <w:r w:rsidRPr="008B7E51">
        <w:t xml:space="preserve"> </w:t>
      </w:r>
      <w:r w:rsidR="00043FB3" w:rsidRPr="008B7E51">
        <w:t>comparing</w:t>
      </w:r>
      <w:r w:rsidRPr="008B7E51">
        <w:t xml:space="preserve"> </w:t>
      </w:r>
      <w:r w:rsidR="0024025A" w:rsidRPr="008B7E51">
        <w:t xml:space="preserve">the cardinality of the </w:t>
      </w:r>
      <w:r w:rsidR="00043FB3" w:rsidRPr="008B7E51">
        <w:t>detected cells and</w:t>
      </w:r>
      <w:r w:rsidR="0024025A" w:rsidRPr="008B7E51">
        <w:t>/or</w:t>
      </w:r>
      <w:r w:rsidR="00043FB3" w:rsidRPr="008B7E51">
        <w:t xml:space="preserve"> their </w:t>
      </w:r>
      <w:r w:rsidR="008E4F26" w:rsidRPr="008B7E51">
        <w:t xml:space="preserve">measured </w:t>
      </w:r>
      <w:r w:rsidR="00043FB3" w:rsidRPr="008B7E51">
        <w:t>radio quality during data collection and inference</w:t>
      </w:r>
      <w:r w:rsidRPr="008B7E51">
        <w:t>)</w:t>
      </w:r>
      <w:r w:rsidR="00043FB3" w:rsidRPr="008B7E51">
        <w:t xml:space="preserve"> </w:t>
      </w:r>
      <w:r w:rsidR="00D7751D" w:rsidRPr="008B7E51">
        <w:t>to</w:t>
      </w:r>
      <w:r w:rsidR="00693D5B" w:rsidRPr="008B7E51">
        <w:t xml:space="preserve"> determine whether the network environment (number of cells and their coverage) </w:t>
      </w:r>
      <w:r w:rsidR="005A661A" w:rsidRPr="008B7E51">
        <w:t>have</w:t>
      </w:r>
      <w:r w:rsidR="00693D5B" w:rsidRPr="008B7E51">
        <w:t xml:space="preserve"> changed or not. </w:t>
      </w:r>
      <w:r w:rsidR="00755B9F" w:rsidRPr="008B7E51">
        <w:t>We think a</w:t>
      </w:r>
      <w:r w:rsidR="0075219F" w:rsidRPr="008B7E51">
        <w:t xml:space="preserve"> </w:t>
      </w:r>
      <w:r w:rsidR="00755B9F" w:rsidRPr="008B7E51">
        <w:t>proprietary</w:t>
      </w:r>
      <w:r w:rsidR="00794726" w:rsidRPr="008B7E51">
        <w:t xml:space="preserve"> UE</w:t>
      </w:r>
      <w:r w:rsidR="00755B9F" w:rsidRPr="008B7E51">
        <w:t xml:space="preserve"> implementation </w:t>
      </w:r>
      <w:r w:rsidR="00BA0836" w:rsidRPr="008B7E51">
        <w:t xml:space="preserve">can </w:t>
      </w:r>
      <w:r w:rsidR="00755B9F" w:rsidRPr="008B7E51">
        <w:t xml:space="preserve">easily detect such </w:t>
      </w:r>
      <w:r w:rsidR="00F70DE4" w:rsidRPr="008B7E51">
        <w:t>network</w:t>
      </w:r>
      <w:r w:rsidR="00755B9F" w:rsidRPr="008B7E51">
        <w:t xml:space="preserve"> environment changes or differences between different cells/</w:t>
      </w:r>
      <w:r w:rsidR="00A17FA6" w:rsidRPr="008B7E51">
        <w:t>frequencies</w:t>
      </w:r>
      <w:r w:rsidR="00A17FA6" w:rsidRPr="008B7E51">
        <w:rPr>
          <w:lang w:eastAsia="zh-CN"/>
        </w:rPr>
        <w:t xml:space="preserve"> and </w:t>
      </w:r>
      <w:r w:rsidR="00131D11" w:rsidRPr="008B7E51">
        <w:rPr>
          <w:lang w:eastAsia="zh-CN"/>
        </w:rPr>
        <w:t>determines</w:t>
      </w:r>
      <w:r w:rsidR="00A17FA6" w:rsidRPr="008B7E51">
        <w:rPr>
          <w:lang w:eastAsia="zh-CN"/>
        </w:rPr>
        <w:t xml:space="preserve"> </w:t>
      </w:r>
      <w:r w:rsidR="001C1D93" w:rsidRPr="008B7E51">
        <w:rPr>
          <w:lang w:eastAsia="zh-CN"/>
        </w:rPr>
        <w:t>whether</w:t>
      </w:r>
      <w:r w:rsidR="00A17FA6" w:rsidRPr="008B7E51">
        <w:rPr>
          <w:lang w:eastAsia="zh-CN"/>
        </w:rPr>
        <w:t xml:space="preserve"> the inference configuration is </w:t>
      </w:r>
      <w:r w:rsidR="00682099" w:rsidRPr="008B7E51">
        <w:rPr>
          <w:lang w:eastAsia="zh-CN"/>
        </w:rPr>
        <w:t>(in)</w:t>
      </w:r>
      <w:r w:rsidR="00A17FA6" w:rsidRPr="008B7E51">
        <w:rPr>
          <w:lang w:eastAsia="zh-CN"/>
        </w:rPr>
        <w:t xml:space="preserve">applicable </w:t>
      </w:r>
      <w:r w:rsidR="001C1D93" w:rsidRPr="008B7E51">
        <w:rPr>
          <w:lang w:eastAsia="zh-CN"/>
        </w:rPr>
        <w:t xml:space="preserve">based on the </w:t>
      </w:r>
      <w:r w:rsidR="004464DD" w:rsidRPr="008B7E51">
        <w:rPr>
          <w:lang w:eastAsia="zh-CN"/>
        </w:rPr>
        <w:t xml:space="preserve">network </w:t>
      </w:r>
      <w:r w:rsidR="001C1D93" w:rsidRPr="008B7E51">
        <w:rPr>
          <w:lang w:eastAsia="zh-CN"/>
        </w:rPr>
        <w:t>environment</w:t>
      </w:r>
      <w:r w:rsidR="00755B9F" w:rsidRPr="008B7E51">
        <w:t>.</w:t>
      </w:r>
      <w:r w:rsidR="00A17FA6" w:rsidRPr="008B7E51">
        <w:t xml:space="preserve"> </w:t>
      </w:r>
    </w:p>
    <w:p w14:paraId="4684C0A6" w14:textId="21D57B9E" w:rsidR="00023BA1" w:rsidRPr="008B7E51" w:rsidRDefault="00682099" w:rsidP="00187B90">
      <w:pPr>
        <w:jc w:val="both"/>
      </w:pPr>
      <w:proofErr w:type="gramStart"/>
      <w:r w:rsidRPr="008B7E51">
        <w:t>In light of</w:t>
      </w:r>
      <w:proofErr w:type="gramEnd"/>
      <w:r w:rsidRPr="008B7E51">
        <w:t xml:space="preserve"> the </w:t>
      </w:r>
      <w:proofErr w:type="gramStart"/>
      <w:r w:rsidRPr="008B7E51">
        <w:t>above</w:t>
      </w:r>
      <w:r w:rsidR="00A17FA6" w:rsidRPr="008B7E51">
        <w:rPr>
          <w:lang w:eastAsia="zh-CN"/>
        </w:rPr>
        <w:t xml:space="preserve">, </w:t>
      </w:r>
      <w:r w:rsidRPr="008B7E51">
        <w:rPr>
          <w:lang w:eastAsia="zh-CN"/>
        </w:rPr>
        <w:t>and</w:t>
      </w:r>
      <w:proofErr w:type="gramEnd"/>
      <w:r w:rsidRPr="008B7E51">
        <w:rPr>
          <w:lang w:eastAsia="zh-CN"/>
        </w:rPr>
        <w:t xml:space="preserve"> given that</w:t>
      </w:r>
      <w:r w:rsidR="00A17FA6" w:rsidRPr="008B7E51">
        <w:rPr>
          <w:lang w:eastAsia="zh-CN"/>
        </w:rPr>
        <w:t xml:space="preserve"> the UE side can easily detect the consistency issues</w:t>
      </w:r>
      <w:r w:rsidR="00F65551" w:rsidRPr="008B7E51">
        <w:rPr>
          <w:lang w:eastAsia="zh-CN"/>
        </w:rPr>
        <w:t xml:space="preserve"> (across data collection for model training and inference phases)</w:t>
      </w:r>
      <w:r w:rsidR="00A17FA6" w:rsidRPr="008B7E51">
        <w:rPr>
          <w:lang w:eastAsia="zh-CN"/>
        </w:rPr>
        <w:t xml:space="preserve">, </w:t>
      </w:r>
      <w:r w:rsidR="00755B9F" w:rsidRPr="008B7E51">
        <w:t xml:space="preserve">associated ID is not needed </w:t>
      </w:r>
      <w:r w:rsidR="0019093E" w:rsidRPr="008B7E51">
        <w:t>for</w:t>
      </w:r>
      <w:r w:rsidR="00755B9F" w:rsidRPr="008B7E51">
        <w:t xml:space="preserve"> AI for mobility</w:t>
      </w:r>
      <w:r w:rsidR="0019093E" w:rsidRPr="008B7E51">
        <w:t xml:space="preserve"> use cases</w:t>
      </w:r>
      <w:r w:rsidR="00755B9F" w:rsidRPr="008B7E51">
        <w:t xml:space="preserve">. </w:t>
      </w:r>
    </w:p>
    <w:p w14:paraId="1B08A3D1" w14:textId="33E40E16" w:rsidR="007D2557" w:rsidRPr="008B7E51" w:rsidRDefault="00A17FA6" w:rsidP="007D2557">
      <w:pPr>
        <w:pStyle w:val="Proposal"/>
      </w:pPr>
      <w:bookmarkStart w:id="30" w:name="_Toc212804288"/>
      <w:r w:rsidRPr="008B7E51">
        <w:t>It is up to UE implementation to ensure the consistency between the training and the inference. No associated ID is needed</w:t>
      </w:r>
      <w:r w:rsidR="00DB6892" w:rsidRPr="008B7E51">
        <w:t xml:space="preserve"> for </w:t>
      </w:r>
      <w:r w:rsidR="009A59E6">
        <w:t xml:space="preserve">AI for </w:t>
      </w:r>
      <w:r w:rsidR="00DB6892" w:rsidRPr="008B7E51">
        <w:t>Mobility use case</w:t>
      </w:r>
      <w:r w:rsidR="007D2557" w:rsidRPr="008B7E51">
        <w:t>.</w:t>
      </w:r>
      <w:bookmarkEnd w:id="30"/>
    </w:p>
    <w:p w14:paraId="6FEB6D8B" w14:textId="77777777" w:rsidR="00BB508E" w:rsidRPr="008B7E51" w:rsidRDefault="00BB508E" w:rsidP="00BB508E"/>
    <w:p w14:paraId="65C2C63F" w14:textId="176A495B" w:rsidR="004D3452" w:rsidRPr="008B7E51" w:rsidRDefault="008B2B53" w:rsidP="00147558">
      <w:pPr>
        <w:pStyle w:val="Heading2"/>
      </w:pPr>
      <w:r w:rsidRPr="008B7E51">
        <w:t xml:space="preserve">L3 </w:t>
      </w:r>
      <w:r w:rsidR="00C930A3" w:rsidRPr="008B7E51">
        <w:t>f</w:t>
      </w:r>
      <w:r w:rsidRPr="008B7E51">
        <w:t xml:space="preserve">iltering </w:t>
      </w:r>
      <w:r w:rsidR="0086157C" w:rsidRPr="008B7E51">
        <w:t xml:space="preserve">mechanism </w:t>
      </w:r>
      <w:r w:rsidRPr="008B7E51">
        <w:t xml:space="preserve">for </w:t>
      </w:r>
      <w:r w:rsidR="00924EA4" w:rsidRPr="008B7E51">
        <w:t xml:space="preserve">combination of </w:t>
      </w:r>
      <w:r w:rsidR="004A5B7F" w:rsidRPr="008B7E51">
        <w:t>me</w:t>
      </w:r>
      <w:r w:rsidRPr="008B7E51">
        <w:t xml:space="preserve">asurement </w:t>
      </w:r>
      <w:r w:rsidR="00621F3C" w:rsidRPr="008B7E51">
        <w:t>and prediction</w:t>
      </w:r>
    </w:p>
    <w:p w14:paraId="40380CD3" w14:textId="6CB2CF13" w:rsidR="00BF4478" w:rsidRPr="008B7E51" w:rsidRDefault="00BF4478" w:rsidP="00BF4478">
      <w:pPr>
        <w:rPr>
          <w:lang w:eastAsia="zh-CN"/>
        </w:rPr>
      </w:pPr>
      <w:r w:rsidRPr="008B7E51">
        <w:rPr>
          <w:lang w:eastAsia="zh-CN"/>
        </w:rPr>
        <w:t xml:space="preserve">L3 filtering is a process used to smooth or average RRM measurements over time, helping to reduce the impact of short-term fluctuations and provide more stable parameters for HO decision-making. </w:t>
      </w:r>
    </w:p>
    <w:p w14:paraId="32B70B6D" w14:textId="7824B58B" w:rsidR="004D3452" w:rsidRPr="008B7E51" w:rsidRDefault="001374FF" w:rsidP="0006069F">
      <w:pPr>
        <w:rPr>
          <w:lang w:eastAsia="zh-CN"/>
        </w:rPr>
      </w:pPr>
      <w:r w:rsidRPr="008B7E51">
        <w:rPr>
          <w:lang w:eastAsia="zh-CN"/>
        </w:rPr>
        <w:t>In the case of temporal prediction Case B, the UE may substitute some of the actual measurements with predicted values</w:t>
      </w:r>
      <w:r w:rsidR="00BF4478" w:rsidRPr="008B7E51">
        <w:rPr>
          <w:lang w:eastAsia="zh-CN"/>
        </w:rPr>
        <w:t xml:space="preserve"> (e.g. predicted RSRP).</w:t>
      </w:r>
      <w:r w:rsidR="00FA13D5" w:rsidRPr="008B7E51">
        <w:rPr>
          <w:lang w:eastAsia="zh-CN"/>
        </w:rPr>
        <w:t xml:space="preserve"> </w:t>
      </w:r>
      <w:r w:rsidR="001A43A9" w:rsidRPr="008B7E51">
        <w:rPr>
          <w:lang w:eastAsia="zh-CN"/>
        </w:rPr>
        <w:t>Consequently</w:t>
      </w:r>
      <w:r w:rsidR="00BF4478" w:rsidRPr="008B7E51">
        <w:rPr>
          <w:lang w:eastAsia="zh-CN"/>
        </w:rPr>
        <w:t xml:space="preserve">, L3 filtering </w:t>
      </w:r>
      <w:r w:rsidR="001A43A9" w:rsidRPr="008B7E51">
        <w:rPr>
          <w:lang w:eastAsia="zh-CN"/>
        </w:rPr>
        <w:t xml:space="preserve">mechanism </w:t>
      </w:r>
      <w:r w:rsidR="00BF4478" w:rsidRPr="008B7E51">
        <w:rPr>
          <w:lang w:eastAsia="zh-CN"/>
        </w:rPr>
        <w:t xml:space="preserve">needs to </w:t>
      </w:r>
      <w:r w:rsidR="001A43A9" w:rsidRPr="008B7E51">
        <w:rPr>
          <w:lang w:eastAsia="zh-CN"/>
        </w:rPr>
        <w:t>integrate and process both actual</w:t>
      </w:r>
      <w:r w:rsidR="00BF4478" w:rsidRPr="008B7E51">
        <w:rPr>
          <w:lang w:eastAsia="zh-CN"/>
        </w:rPr>
        <w:t xml:space="preserve"> and </w:t>
      </w:r>
      <w:r w:rsidR="001A43A9" w:rsidRPr="008B7E51">
        <w:rPr>
          <w:lang w:eastAsia="zh-CN"/>
        </w:rPr>
        <w:t xml:space="preserve">predicted measurement </w:t>
      </w:r>
      <w:r w:rsidR="00BF4478" w:rsidRPr="008B7E51">
        <w:rPr>
          <w:lang w:eastAsia="zh-CN"/>
        </w:rPr>
        <w:t xml:space="preserve">data </w:t>
      </w:r>
      <w:r w:rsidR="001A43A9" w:rsidRPr="008B7E51">
        <w:rPr>
          <w:lang w:eastAsia="zh-CN"/>
        </w:rPr>
        <w:t>together to produce an accurate</w:t>
      </w:r>
      <w:r w:rsidR="00BF4478" w:rsidRPr="008B7E51">
        <w:rPr>
          <w:lang w:eastAsia="zh-CN"/>
        </w:rPr>
        <w:t xml:space="preserve"> filtered </w:t>
      </w:r>
      <w:r w:rsidR="001A43A9" w:rsidRPr="008B7E51">
        <w:rPr>
          <w:lang w:eastAsia="zh-CN"/>
        </w:rPr>
        <w:t>output.</w:t>
      </w:r>
      <w:r w:rsidR="00F2742B" w:rsidRPr="008B7E51">
        <w:rPr>
          <w:lang w:eastAsia="zh-CN"/>
        </w:rPr>
        <w:t xml:space="preserve"> </w:t>
      </w:r>
    </w:p>
    <w:p w14:paraId="21D66236" w14:textId="76FE3506" w:rsidR="003053AC" w:rsidRPr="008B7E51" w:rsidRDefault="003053AC" w:rsidP="00DD604B">
      <w:pPr>
        <w:pStyle w:val="Observation"/>
        <w:rPr>
          <w:lang w:eastAsia="zh-CN"/>
        </w:rPr>
      </w:pPr>
      <w:r w:rsidRPr="008B7E51">
        <w:rPr>
          <w:lang w:eastAsia="zh-CN"/>
        </w:rPr>
        <w:t xml:space="preserve">In case of temporal prediction </w:t>
      </w:r>
      <w:r w:rsidR="00A41F1C" w:rsidRPr="008B7E51">
        <w:rPr>
          <w:lang w:eastAsia="zh-CN"/>
        </w:rPr>
        <w:t>C</w:t>
      </w:r>
      <w:r w:rsidRPr="008B7E51">
        <w:rPr>
          <w:lang w:eastAsia="zh-CN"/>
        </w:rPr>
        <w:t>ase B, the UE need</w:t>
      </w:r>
      <w:r w:rsidR="00002020" w:rsidRPr="008B7E51">
        <w:rPr>
          <w:lang w:eastAsia="zh-CN"/>
        </w:rPr>
        <w:t>s</w:t>
      </w:r>
      <w:r w:rsidRPr="008B7E51">
        <w:rPr>
          <w:lang w:eastAsia="zh-CN"/>
        </w:rPr>
        <w:t xml:space="preserve"> to </w:t>
      </w:r>
      <w:r w:rsidR="005B19E4" w:rsidRPr="008B7E51">
        <w:rPr>
          <w:lang w:eastAsia="zh-CN"/>
        </w:rPr>
        <w:t xml:space="preserve">perform L3 filtering on </w:t>
      </w:r>
      <w:r w:rsidR="007E0773" w:rsidRPr="008B7E51">
        <w:rPr>
          <w:lang w:eastAsia="zh-CN"/>
        </w:rPr>
        <w:t xml:space="preserve">a combination of actual and predicted </w:t>
      </w:r>
      <w:r w:rsidR="00002020" w:rsidRPr="008B7E51">
        <w:rPr>
          <w:lang w:eastAsia="zh-CN"/>
        </w:rPr>
        <w:t xml:space="preserve">measurements samples. </w:t>
      </w:r>
    </w:p>
    <w:p w14:paraId="4E91A6EA" w14:textId="77777777" w:rsidR="005439E1" w:rsidRPr="008B7E51" w:rsidRDefault="005439E1" w:rsidP="005439E1">
      <w:pPr>
        <w:rPr>
          <w:lang w:eastAsia="zh-CN"/>
        </w:rPr>
      </w:pPr>
    </w:p>
    <w:p w14:paraId="44796B01" w14:textId="11452836" w:rsidR="00AA5334" w:rsidRPr="008B7E51" w:rsidRDefault="000F4F08" w:rsidP="005439E1">
      <w:pPr>
        <w:rPr>
          <w:lang w:eastAsia="zh-CN"/>
        </w:rPr>
      </w:pPr>
      <w:r w:rsidRPr="008B7E51">
        <w:rPr>
          <w:lang w:eastAsia="zh-CN"/>
        </w:rPr>
        <w:t xml:space="preserve">RAN2 should evaluate </w:t>
      </w:r>
      <w:r w:rsidR="005E6A7D" w:rsidRPr="008B7E51">
        <w:rPr>
          <w:lang w:eastAsia="zh-CN"/>
        </w:rPr>
        <w:t xml:space="preserve">if </w:t>
      </w:r>
      <w:r w:rsidRPr="008B7E51">
        <w:rPr>
          <w:lang w:eastAsia="zh-CN"/>
        </w:rPr>
        <w:t xml:space="preserve">the existing L3 filtering process </w:t>
      </w:r>
      <w:r w:rsidR="005E6A7D" w:rsidRPr="008B7E51">
        <w:rPr>
          <w:lang w:eastAsia="zh-CN"/>
        </w:rPr>
        <w:t xml:space="preserve">needs to be updated </w:t>
      </w:r>
      <w:r w:rsidRPr="008B7E51">
        <w:rPr>
          <w:lang w:eastAsia="zh-CN"/>
        </w:rPr>
        <w:t xml:space="preserve">to effectively accommodate the dual data sources (actual and predicted measurements) when the UE </w:t>
      </w:r>
      <w:r w:rsidR="00E33966" w:rsidRPr="008B7E51">
        <w:rPr>
          <w:lang w:eastAsia="zh-CN"/>
        </w:rPr>
        <w:t>uses</w:t>
      </w:r>
      <w:r w:rsidRPr="008B7E51">
        <w:rPr>
          <w:lang w:eastAsia="zh-CN"/>
        </w:rPr>
        <w:t xml:space="preserve"> temporal domain Case B.</w:t>
      </w:r>
    </w:p>
    <w:p w14:paraId="31383C81" w14:textId="7C585F9D" w:rsidR="004D3452" w:rsidRPr="008B7E51" w:rsidRDefault="00864BED" w:rsidP="00C0126A">
      <w:pPr>
        <w:pStyle w:val="Proposal"/>
      </w:pPr>
      <w:r w:rsidRPr="008B7E51">
        <w:t xml:space="preserve">RAN2 </w:t>
      </w:r>
      <w:r w:rsidR="007C1F24" w:rsidRPr="008B7E51">
        <w:t xml:space="preserve">discuss L3 </w:t>
      </w:r>
      <w:r w:rsidRPr="008B7E51">
        <w:t xml:space="preserve">filtering process when </w:t>
      </w:r>
      <w:r w:rsidR="00B14CD0" w:rsidRPr="008B7E51">
        <w:t>temp</w:t>
      </w:r>
      <w:r w:rsidR="005439E1" w:rsidRPr="008B7E51">
        <w:t>oral</w:t>
      </w:r>
      <w:r w:rsidR="00D14D51" w:rsidRPr="008B7E51">
        <w:t xml:space="preserve"> domain</w:t>
      </w:r>
      <w:r w:rsidR="00B14CD0" w:rsidRPr="008B7E51">
        <w:t xml:space="preserve"> pred</w:t>
      </w:r>
      <w:r w:rsidR="00D14D51" w:rsidRPr="008B7E51">
        <w:t>iction</w:t>
      </w:r>
      <w:r w:rsidR="00B14CD0" w:rsidRPr="008B7E51">
        <w:t xml:space="preserve"> Case B is used</w:t>
      </w:r>
      <w:r w:rsidR="008C4A6B" w:rsidRPr="008B7E51">
        <w:t xml:space="preserve"> </w:t>
      </w:r>
      <w:r w:rsidR="00554223" w:rsidRPr="008B7E51">
        <w:t xml:space="preserve">together with legacy RRM measurements. </w:t>
      </w:r>
    </w:p>
    <w:p w14:paraId="7021873E" w14:textId="77777777" w:rsidR="00B14CD0" w:rsidRPr="008B7E51" w:rsidRDefault="00B14CD0" w:rsidP="0006069F">
      <w:pPr>
        <w:rPr>
          <w:lang w:eastAsia="zh-CN"/>
        </w:rPr>
      </w:pPr>
    </w:p>
    <w:p w14:paraId="72E2962E" w14:textId="77777777" w:rsidR="00B25D73" w:rsidRPr="008B7E51" w:rsidRDefault="00B25D73" w:rsidP="00B25D73">
      <w:pPr>
        <w:pStyle w:val="Heading1"/>
        <w:rPr>
          <w:rFonts w:cs="Arial"/>
        </w:rPr>
      </w:pPr>
      <w:bookmarkStart w:id="31" w:name="_Toc206062503"/>
      <w:bookmarkEnd w:id="31"/>
      <w:r w:rsidRPr="008B7E51">
        <w:rPr>
          <w:rFonts w:cs="Arial"/>
        </w:rPr>
        <w:lastRenderedPageBreak/>
        <w:t>Conclusion</w:t>
      </w:r>
    </w:p>
    <w:p w14:paraId="00C0D77D" w14:textId="1F811129" w:rsidR="00B16F67" w:rsidRPr="008A56F5" w:rsidRDefault="00FA10AF" w:rsidP="00B16F67">
      <w:pPr>
        <w:pStyle w:val="BodyText"/>
        <w:rPr>
          <w:b/>
        </w:rPr>
      </w:pPr>
      <w:r w:rsidRPr="008A56F5">
        <w:t>In the previous sections we made the following observations:</w:t>
      </w:r>
    </w:p>
    <w:p w14:paraId="31369FB8" w14:textId="1CA66756" w:rsidR="000E7D3A" w:rsidRPr="008B7E51" w:rsidRDefault="00B16F67" w:rsidP="002B7738">
      <w:pPr>
        <w:pStyle w:val="Observation"/>
        <w:numPr>
          <w:ilvl w:val="0"/>
          <w:numId w:val="80"/>
        </w:numPr>
      </w:pPr>
      <w:r w:rsidRPr="008B7E51">
        <w:fldChar w:fldCharType="begin"/>
      </w:r>
      <w:r w:rsidRPr="008B7E51">
        <w:instrText xml:space="preserve"> TOC \f O \n \h \z \t "Observation" \c </w:instrText>
      </w:r>
      <w:r w:rsidRPr="008B7E51">
        <w:fldChar w:fldCharType="separate"/>
      </w:r>
      <w:r w:rsidR="0013277A" w:rsidRPr="008B7E51">
        <w:fldChar w:fldCharType="begin"/>
      </w:r>
      <w:r w:rsidR="0013277A" w:rsidRPr="008B7E51">
        <w:instrText xml:space="preserve"> HYPERLINK \l "_Toc212804276" </w:instrText>
      </w:r>
      <w:r w:rsidR="0013277A" w:rsidRPr="008B7E51">
        <w:fldChar w:fldCharType="separate"/>
      </w:r>
      <w:r w:rsidR="000E7D3A" w:rsidRPr="008B7E51">
        <w:t>Unlike AI for Beam Management, where the gNB can (de)activate the inference via existing MAC CE, (de)activation of AI for Mobility requires an RRC reconfiguration which makes (de)activation more costly, in particular if the UE frequently switches between applicable and non-applicable states.</w:t>
      </w:r>
    </w:p>
    <w:p w14:paraId="32622093" w14:textId="0E866FD5" w:rsidR="00F762BC" w:rsidRPr="008B7E51" w:rsidRDefault="0013277A" w:rsidP="00843247">
      <w:pPr>
        <w:pStyle w:val="Observation"/>
      </w:pPr>
      <w:r w:rsidRPr="008B7E51">
        <w:fldChar w:fldCharType="end"/>
      </w:r>
      <w:r w:rsidRPr="008B7E51">
        <w:fldChar w:fldCharType="begin"/>
      </w:r>
      <w:r w:rsidRPr="008B7E51">
        <w:instrText xml:space="preserve"> HYPERLINK \l "_Toc212804277" </w:instrText>
      </w:r>
      <w:r w:rsidRPr="008B7E51">
        <w:fldChar w:fldCharType="separate"/>
      </w:r>
      <w:r w:rsidR="00F762BC" w:rsidRPr="008B7E51">
        <w:t>Unlike AI for PHY, where consistency issues (during training and inference) stem mainly from beam properties, in AI for Mobility, consistency issues are primarily associated with the changes in network coverage (during training and inference).</w:t>
      </w:r>
    </w:p>
    <w:p w14:paraId="7FC5CED8" w14:textId="1309C7AE" w:rsidR="00843247" w:rsidRPr="008B7E51" w:rsidRDefault="00F762BC" w:rsidP="00786774">
      <w:pPr>
        <w:pStyle w:val="Observation"/>
      </w:pPr>
      <w:r w:rsidRPr="008B7E51">
        <w:t xml:space="preserve">In an example, </w:t>
      </w:r>
      <w:r w:rsidR="00786774" w:rsidRPr="008B7E51">
        <w:t>consistency issue stems from energy-saving policies in the network, where more cells might be active and providing coverage and capacity during model training, while some of the capacity cells may be turned off during inference which makes the neighbour cell’s prediction</w:t>
      </w:r>
      <w:r w:rsidR="00786774">
        <w:t xml:space="preserve"> inconsistent</w:t>
      </w:r>
      <w:r w:rsidR="00786774" w:rsidRPr="008B7E51">
        <w:t xml:space="preserve">.  </w:t>
      </w:r>
      <w:r w:rsidR="0013277A" w:rsidRPr="008B7E51">
        <w:fldChar w:fldCharType="end"/>
      </w:r>
      <w:r w:rsidR="00B16F67" w:rsidRPr="008B7E51">
        <w:fldChar w:fldCharType="end"/>
      </w:r>
    </w:p>
    <w:p w14:paraId="4C2999DB" w14:textId="6EABCC89" w:rsidR="00B25D73" w:rsidRPr="008B7E51" w:rsidRDefault="00B25D73" w:rsidP="002B7738">
      <w:pPr>
        <w:pStyle w:val="Observation"/>
        <w:numPr>
          <w:ilvl w:val="0"/>
          <w:numId w:val="0"/>
        </w:numPr>
        <w:ind w:left="360" w:hanging="360"/>
        <w:rPr>
          <w:b w:val="0"/>
          <w:bCs w:val="0"/>
        </w:rPr>
      </w:pPr>
      <w:r w:rsidRPr="008B7E51">
        <w:rPr>
          <w:b w:val="0"/>
          <w:bCs w:val="0"/>
        </w:rPr>
        <w:t>Based on the discussion in the previous sections we propose the following:</w:t>
      </w:r>
    </w:p>
    <w:p w14:paraId="025AB21A" w14:textId="77777777" w:rsidR="005B5234" w:rsidRPr="008B7E51" w:rsidRDefault="005B5234" w:rsidP="00B25D73">
      <w:pPr>
        <w:pStyle w:val="BodyText"/>
        <w:rPr>
          <w:rFonts w:cs="Arial"/>
        </w:rPr>
      </w:pPr>
    </w:p>
    <w:p w14:paraId="5DD5C2A2" w14:textId="77777777" w:rsidR="00C04AF0" w:rsidRPr="008B7E51" w:rsidRDefault="00C04AF0" w:rsidP="002B7738">
      <w:pPr>
        <w:pStyle w:val="Proposal"/>
        <w:numPr>
          <w:ilvl w:val="0"/>
          <w:numId w:val="77"/>
        </w:numPr>
      </w:pPr>
      <w:r w:rsidRPr="008B7E51">
        <w:t>RAN2 first discuss full inference configuration, before discussing partial inference configuration.</w:t>
      </w:r>
    </w:p>
    <w:p w14:paraId="6C9898AA" w14:textId="77777777" w:rsidR="00C04AF0" w:rsidRPr="008B7E51" w:rsidRDefault="00C04AF0" w:rsidP="00C04AF0">
      <w:pPr>
        <w:pStyle w:val="Proposal"/>
      </w:pPr>
      <w:r w:rsidRPr="008B7E51">
        <w:t>Before supporting partial inference configuration, RAN2 should discuss whether there is any meaningful difference between full and partial configurations.</w:t>
      </w:r>
    </w:p>
    <w:p w14:paraId="432C5525" w14:textId="77777777" w:rsidR="000E7D3A" w:rsidRPr="008B7E51" w:rsidRDefault="000E7D3A" w:rsidP="000E7D3A">
      <w:pPr>
        <w:pStyle w:val="Proposal"/>
      </w:pPr>
      <w:r w:rsidRPr="008B7E51">
        <w:t>RAN2 discuss UE’s toggling mechanism between preconfigured legacy RRM measurements configuration and inference configuration based on applicability status.</w:t>
      </w:r>
    </w:p>
    <w:p w14:paraId="16CB51D2" w14:textId="77777777" w:rsidR="000E7D3A" w:rsidRPr="008B7E51" w:rsidRDefault="000E7D3A" w:rsidP="000E7D3A">
      <w:pPr>
        <w:pStyle w:val="Proposal"/>
        <w:numPr>
          <w:ilvl w:val="0"/>
          <w:numId w:val="75"/>
        </w:numPr>
      </w:pPr>
      <w:r w:rsidRPr="008B7E51">
        <w:t>If the inference configuration becomes inapplicable, the UE immediately applies the preconfigured measurement configuration and performs legacy measurements.</w:t>
      </w:r>
    </w:p>
    <w:p w14:paraId="110EB5EA" w14:textId="77777777" w:rsidR="000E7D3A" w:rsidRPr="008B7E51" w:rsidRDefault="000E7D3A" w:rsidP="000E7D3A">
      <w:pPr>
        <w:pStyle w:val="Proposal"/>
        <w:numPr>
          <w:ilvl w:val="0"/>
          <w:numId w:val="75"/>
        </w:numPr>
      </w:pPr>
      <w:r w:rsidRPr="008B7E51">
        <w:t>If the inference configuration becomes applicable, the UE immediately applies the preconfigured inference configuration i.e., stop legacy measurements and start predictions.</w:t>
      </w:r>
    </w:p>
    <w:p w14:paraId="0AB072A2" w14:textId="3AD6D3FD" w:rsidR="00F762BC" w:rsidRPr="008B7E51" w:rsidRDefault="00F762BC" w:rsidP="00F762BC">
      <w:pPr>
        <w:pStyle w:val="Proposal"/>
      </w:pPr>
      <w:r w:rsidRPr="008B7E51">
        <w:t xml:space="preserve">It is up to UE implementation to ensure the consistency between the training and the inference. No associated ID is needed for </w:t>
      </w:r>
      <w:r w:rsidR="00D51F5C">
        <w:t xml:space="preserve">AI for </w:t>
      </w:r>
      <w:r w:rsidRPr="008B7E51">
        <w:t>Mobility use case.</w:t>
      </w:r>
    </w:p>
    <w:p w14:paraId="7457B4C3" w14:textId="38DFAFC9" w:rsidR="00E26572" w:rsidRPr="008B7E51" w:rsidRDefault="00E26572" w:rsidP="00E26572">
      <w:pPr>
        <w:pStyle w:val="Proposal"/>
      </w:pPr>
      <w:r w:rsidRPr="008B7E51">
        <w:t xml:space="preserve">RAN2 discuss L3 filtering process when temporal domain prediction Case B is used together with legacy RRM measurements. </w:t>
      </w:r>
    </w:p>
    <w:p w14:paraId="4000F254" w14:textId="3CAFA056" w:rsidR="00B25D73" w:rsidRPr="008B7E51" w:rsidRDefault="00B25D73" w:rsidP="00B25D73">
      <w:pPr>
        <w:pStyle w:val="TableofFigures"/>
        <w:tabs>
          <w:tab w:val="right" w:leader="dot" w:pos="9628"/>
        </w:tabs>
        <w:rPr>
          <w:rFonts w:eastAsiaTheme="minorEastAsia" w:cs="Arial"/>
          <w:b w:val="0"/>
          <w:kern w:val="2"/>
          <w:szCs w:val="22"/>
          <w14:ligatures w14:val="standardContextual"/>
        </w:rPr>
      </w:pPr>
    </w:p>
    <w:p w14:paraId="45955E2C" w14:textId="6F396D81" w:rsidR="00F507D1" w:rsidRPr="008B7E51" w:rsidRDefault="00F507D1" w:rsidP="006357FE">
      <w:pPr>
        <w:pStyle w:val="Heading1"/>
      </w:pPr>
      <w:bookmarkStart w:id="32" w:name="_Toc204898935"/>
      <w:bookmarkEnd w:id="32"/>
      <w:r w:rsidRPr="008B7E51">
        <w:t>References</w:t>
      </w:r>
    </w:p>
    <w:p w14:paraId="3682E4A4" w14:textId="2E650711" w:rsidR="00D27607" w:rsidRPr="008B7E51" w:rsidRDefault="003A27DB" w:rsidP="00B57D9C">
      <w:pPr>
        <w:pStyle w:val="Reference"/>
      </w:pPr>
      <w:bookmarkStart w:id="33" w:name="_Ref174151459"/>
      <w:bookmarkStart w:id="34" w:name="_Ref189809556"/>
      <w:bookmarkStart w:id="35" w:name="_Ref189233366"/>
      <w:r w:rsidRPr="008B7E51">
        <w:t xml:space="preserve">RP-252899 - </w:t>
      </w:r>
      <w:r w:rsidR="00FA4B10" w:rsidRPr="008B7E51">
        <w:t xml:space="preserve">Revised WI: Artificial Intelligence (AI)/Machine Learning (ML) for mobility in NR, </w:t>
      </w:r>
      <w:r w:rsidR="00B57D9C" w:rsidRPr="008B7E51">
        <w:t>OPPO, Interdigital, RAN#109, September 2025</w:t>
      </w:r>
      <w:bookmarkEnd w:id="33"/>
      <w:bookmarkEnd w:id="34"/>
      <w:bookmarkEnd w:id="35"/>
    </w:p>
    <w:sectPr w:rsidR="00D27607" w:rsidRPr="008B7E51"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C9A16" w14:textId="77777777" w:rsidR="00DB6A36" w:rsidRDefault="00DB6A36">
      <w:r>
        <w:separator/>
      </w:r>
    </w:p>
  </w:endnote>
  <w:endnote w:type="continuationSeparator" w:id="0">
    <w:p w14:paraId="7306A833" w14:textId="77777777" w:rsidR="00DB6A36" w:rsidRDefault="00DB6A36">
      <w:r>
        <w:continuationSeparator/>
      </w:r>
    </w:p>
  </w:endnote>
  <w:endnote w:type="continuationNotice" w:id="1">
    <w:p w14:paraId="0FE705DD" w14:textId="77777777" w:rsidR="00DB6A36" w:rsidRDefault="00DB6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66F2" w14:textId="77777777" w:rsidR="00DB6A36" w:rsidRDefault="00DB6A36">
      <w:r>
        <w:separator/>
      </w:r>
    </w:p>
  </w:footnote>
  <w:footnote w:type="continuationSeparator" w:id="0">
    <w:p w14:paraId="672257CC" w14:textId="77777777" w:rsidR="00DB6A36" w:rsidRDefault="00DB6A36">
      <w:r>
        <w:continuationSeparator/>
      </w:r>
    </w:p>
  </w:footnote>
  <w:footnote w:type="continuationNotice" w:id="1">
    <w:p w14:paraId="2DAD948A" w14:textId="77777777" w:rsidR="00DB6A36" w:rsidRDefault="00DB6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8537D2C"/>
    <w:multiLevelType w:val="multilevel"/>
    <w:tmpl w:val="BB2297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4" w15:restartNumberingAfterBreak="0">
    <w:nsid w:val="0C960F71"/>
    <w:multiLevelType w:val="hybridMultilevel"/>
    <w:tmpl w:val="1598B666"/>
    <w:lvl w:ilvl="0" w:tplc="B26A2F5A">
      <w:start w:val="3"/>
      <w:numFmt w:val="bullet"/>
      <w:lvlText w:val="-"/>
      <w:lvlJc w:val="left"/>
      <w:pPr>
        <w:ind w:left="1800" w:hanging="360"/>
      </w:pPr>
      <w:rPr>
        <w:rFonts w:ascii="Arial" w:eastAsia="SimSu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709B4"/>
    <w:multiLevelType w:val="hybridMultilevel"/>
    <w:tmpl w:val="C95A0B8A"/>
    <w:lvl w:ilvl="0" w:tplc="BF8E3598">
      <w:start w:val="2"/>
      <w:numFmt w:val="bullet"/>
      <w:lvlText w:val="-"/>
      <w:lvlJc w:val="left"/>
      <w:pPr>
        <w:ind w:left="720" w:hanging="360"/>
      </w:pPr>
      <w:rPr>
        <w:rFonts w:ascii="Ericsson Hilda" w:eastAsia="SimSun"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C72219"/>
    <w:multiLevelType w:val="hybridMultilevel"/>
    <w:tmpl w:val="B36CA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FC10B9"/>
    <w:multiLevelType w:val="multilevel"/>
    <w:tmpl w:val="7DD82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3C40B36"/>
    <w:multiLevelType w:val="multilevel"/>
    <w:tmpl w:val="0E728C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44E1D1B"/>
    <w:multiLevelType w:val="hybridMultilevel"/>
    <w:tmpl w:val="75E2D216"/>
    <w:lvl w:ilvl="0" w:tplc="BF8E3598">
      <w:start w:val="2"/>
      <w:numFmt w:val="bullet"/>
      <w:lvlText w:val="-"/>
      <w:lvlJc w:val="left"/>
      <w:pPr>
        <w:ind w:left="2024" w:hanging="360"/>
      </w:pPr>
      <w:rPr>
        <w:rFonts w:ascii="Ericsson Hilda" w:eastAsia="SimSun"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127E6"/>
    <w:multiLevelType w:val="multilevel"/>
    <w:tmpl w:val="956CC5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7A1015F"/>
    <w:multiLevelType w:val="multilevel"/>
    <w:tmpl w:val="7AC432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F914A6"/>
    <w:multiLevelType w:val="hybridMultilevel"/>
    <w:tmpl w:val="9D065B4A"/>
    <w:lvl w:ilvl="0" w:tplc="10000001">
      <w:start w:val="1"/>
      <w:numFmt w:val="bullet"/>
      <w:lvlText w:val=""/>
      <w:lvlJc w:val="left"/>
      <w:pPr>
        <w:ind w:left="927" w:hanging="360"/>
      </w:pPr>
      <w:rPr>
        <w:rFonts w:ascii="Symbol" w:hAnsi="Symbo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27" w15:restartNumberingAfterBreak="0">
    <w:nsid w:val="2D9B5B9E"/>
    <w:multiLevelType w:val="hybridMultilevel"/>
    <w:tmpl w:val="0D36523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8"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29"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35"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0204A6"/>
    <w:multiLevelType w:val="hybridMultilevel"/>
    <w:tmpl w:val="2D742BD8"/>
    <w:lvl w:ilvl="0" w:tplc="BF8E3598">
      <w:start w:val="2"/>
      <w:numFmt w:val="bullet"/>
      <w:lvlText w:val="-"/>
      <w:lvlJc w:val="left"/>
      <w:pPr>
        <w:ind w:left="1664" w:hanging="360"/>
      </w:pPr>
      <w:rPr>
        <w:rFonts w:ascii="Ericsson Hilda" w:eastAsia="SimSun" w:hAnsi="Ericsson Hilda" w:cs="Verdana"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8"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4F06048"/>
    <w:multiLevelType w:val="multilevel"/>
    <w:tmpl w:val="DF7ACD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7D90C66"/>
    <w:multiLevelType w:val="hybridMultilevel"/>
    <w:tmpl w:val="A162DBA8"/>
    <w:lvl w:ilvl="0" w:tplc="BF8E3598">
      <w:start w:val="2"/>
      <w:numFmt w:val="bullet"/>
      <w:lvlText w:val="-"/>
      <w:lvlJc w:val="left"/>
      <w:pPr>
        <w:ind w:left="360" w:hanging="360"/>
      </w:pPr>
      <w:rPr>
        <w:rFonts w:ascii="Ericsson Hilda" w:eastAsia="SimSun"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77C6FF2"/>
    <w:multiLevelType w:val="hybridMultilevel"/>
    <w:tmpl w:val="9EA8FD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53" w15:restartNumberingAfterBreak="0">
    <w:nsid w:val="5AA66533"/>
    <w:multiLevelType w:val="multilevel"/>
    <w:tmpl w:val="645E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9C86A59"/>
    <w:multiLevelType w:val="hybridMultilevel"/>
    <w:tmpl w:val="52AC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1" w15:restartNumberingAfterBreak="0">
    <w:nsid w:val="6EE76F20"/>
    <w:multiLevelType w:val="multilevel"/>
    <w:tmpl w:val="E2A0CF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4"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7"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7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46"/>
  </w:num>
  <w:num w:numId="2" w16cid:durableId="1223979647">
    <w:abstractNumId w:val="0"/>
  </w:num>
  <w:num w:numId="3" w16cid:durableId="1185945366">
    <w:abstractNumId w:val="47"/>
  </w:num>
  <w:num w:numId="4" w16cid:durableId="1357735840">
    <w:abstractNumId w:val="48"/>
  </w:num>
  <w:num w:numId="5" w16cid:durableId="1067802859">
    <w:abstractNumId w:val="55"/>
  </w:num>
  <w:num w:numId="6" w16cid:durableId="1601832529">
    <w:abstractNumId w:val="22"/>
  </w:num>
  <w:num w:numId="7" w16cid:durableId="104005981">
    <w:abstractNumId w:val="24"/>
  </w:num>
  <w:num w:numId="8" w16cid:durableId="185681733">
    <w:abstractNumId w:val="6"/>
  </w:num>
  <w:num w:numId="9" w16cid:durableId="1668482799">
    <w:abstractNumId w:val="63"/>
  </w:num>
  <w:num w:numId="10" w16cid:durableId="780951144">
    <w:abstractNumId w:val="30"/>
  </w:num>
  <w:num w:numId="11" w16cid:durableId="2141141672">
    <w:abstractNumId w:val="60"/>
  </w:num>
  <w:num w:numId="12" w16cid:durableId="2111122862">
    <w:abstractNumId w:val="33"/>
  </w:num>
  <w:num w:numId="13" w16cid:durableId="644508040">
    <w:abstractNumId w:val="62"/>
  </w:num>
  <w:num w:numId="14" w16cid:durableId="237325813">
    <w:abstractNumId w:val="19"/>
  </w:num>
  <w:num w:numId="15" w16cid:durableId="1678459994">
    <w:abstractNumId w:val="38"/>
  </w:num>
  <w:num w:numId="16" w16cid:durableId="1452703475">
    <w:abstractNumId w:val="13"/>
  </w:num>
  <w:num w:numId="17" w16cid:durableId="536624740">
    <w:abstractNumId w:val="70"/>
  </w:num>
  <w:num w:numId="18" w16cid:durableId="1042245940">
    <w:abstractNumId w:val="43"/>
  </w:num>
  <w:num w:numId="19" w16cid:durableId="1811750001">
    <w:abstractNumId w:val="16"/>
  </w:num>
  <w:num w:numId="20" w16cid:durableId="1788086905">
    <w:abstractNumId w:val="15"/>
  </w:num>
  <w:num w:numId="21" w16cid:durableId="775949698">
    <w:abstractNumId w:val="64"/>
  </w:num>
  <w:num w:numId="22" w16cid:durableId="902910008">
    <w:abstractNumId w:val="41"/>
  </w:num>
  <w:num w:numId="23" w16cid:durableId="1847939042">
    <w:abstractNumId w:val="50"/>
  </w:num>
  <w:num w:numId="24" w16cid:durableId="1497915014">
    <w:abstractNumId w:val="57"/>
  </w:num>
  <w:num w:numId="25" w16cid:durableId="1211303748">
    <w:abstractNumId w:val="56"/>
  </w:num>
  <w:num w:numId="26" w16cid:durableId="1134756231">
    <w:abstractNumId w:val="29"/>
  </w:num>
  <w:num w:numId="27" w16cid:durableId="1800344428">
    <w:abstractNumId w:val="40"/>
  </w:num>
  <w:num w:numId="28" w16cid:durableId="341664068">
    <w:abstractNumId w:val="32"/>
  </w:num>
  <w:num w:numId="29" w16cid:durableId="908615905">
    <w:abstractNumId w:val="49"/>
  </w:num>
  <w:num w:numId="30" w16cid:durableId="321278347">
    <w:abstractNumId w:val="8"/>
  </w:num>
  <w:num w:numId="31" w16cid:durableId="1601329199">
    <w:abstractNumId w:val="45"/>
  </w:num>
  <w:num w:numId="32" w16cid:durableId="1578437332">
    <w:abstractNumId w:val="5"/>
  </w:num>
  <w:num w:numId="33" w16cid:durableId="1644382110">
    <w:abstractNumId w:val="35"/>
  </w:num>
  <w:num w:numId="34" w16cid:durableId="1398818409">
    <w:abstractNumId w:val="59"/>
  </w:num>
  <w:num w:numId="35" w16cid:durableId="1463159828">
    <w:abstractNumId w:val="68"/>
  </w:num>
  <w:num w:numId="36" w16cid:durableId="1720084331">
    <w:abstractNumId w:val="39"/>
  </w:num>
  <w:num w:numId="37" w16cid:durableId="783768987">
    <w:abstractNumId w:val="34"/>
  </w:num>
  <w:num w:numId="38" w16cid:durableId="1529179739">
    <w:abstractNumId w:val="67"/>
  </w:num>
  <w:num w:numId="39" w16cid:durableId="1134522811">
    <w:abstractNumId w:val="31"/>
  </w:num>
  <w:num w:numId="40" w16cid:durableId="542981474">
    <w:abstractNumId w:val="1"/>
  </w:num>
  <w:num w:numId="41" w16cid:durableId="290332690">
    <w:abstractNumId w:val="66"/>
  </w:num>
  <w:num w:numId="42" w16cid:durableId="1321928458">
    <w:abstractNumId w:val="36"/>
  </w:num>
  <w:num w:numId="43" w16cid:durableId="734744646">
    <w:abstractNumId w:val="54"/>
  </w:num>
  <w:num w:numId="44" w16cid:durableId="841433117">
    <w:abstractNumId w:val="10"/>
  </w:num>
  <w:num w:numId="45" w16cid:durableId="1312639493">
    <w:abstractNumId w:val="23"/>
  </w:num>
  <w:num w:numId="46" w16cid:durableId="1378436349">
    <w:abstractNumId w:val="52"/>
  </w:num>
  <w:num w:numId="47" w16cid:durableId="1513226752">
    <w:abstractNumId w:val="28"/>
  </w:num>
  <w:num w:numId="48" w16cid:durableId="485049755">
    <w:abstractNumId w:val="3"/>
  </w:num>
  <w:num w:numId="49" w16cid:durableId="1981418246">
    <w:abstractNumId w:val="21"/>
  </w:num>
  <w:num w:numId="50" w16cid:durableId="658382889">
    <w:abstractNumId w:val="69"/>
  </w:num>
  <w:num w:numId="51" w16cid:durableId="987125399">
    <w:abstractNumId w:val="26"/>
  </w:num>
  <w:num w:numId="52" w16cid:durableId="1695185463">
    <w:abstractNumId w:val="33"/>
  </w:num>
  <w:num w:numId="53" w16cid:durableId="1379821968">
    <w:abstractNumId w:val="12"/>
  </w:num>
  <w:num w:numId="54" w16cid:durableId="867257194">
    <w:abstractNumId w:val="58"/>
  </w:num>
  <w:num w:numId="55" w16cid:durableId="1139878592">
    <w:abstractNumId w:val="37"/>
  </w:num>
  <w:num w:numId="56" w16cid:durableId="1577741352">
    <w:abstractNumId w:val="7"/>
  </w:num>
  <w:num w:numId="57" w16cid:durableId="2076050028">
    <w:abstractNumId w:val="53"/>
  </w:num>
  <w:num w:numId="58" w16cid:durableId="16085521">
    <w:abstractNumId w:val="44"/>
  </w:num>
  <w:num w:numId="59" w16cid:durableId="1386757948">
    <w:abstractNumId w:val="14"/>
  </w:num>
  <w:num w:numId="60" w16cid:durableId="162597860">
    <w:abstractNumId w:val="51"/>
  </w:num>
  <w:num w:numId="61" w16cid:durableId="972179904">
    <w:abstractNumId w:val="17"/>
  </w:num>
  <w:num w:numId="62" w16cid:durableId="735709588">
    <w:abstractNumId w:val="9"/>
  </w:num>
  <w:num w:numId="63" w16cid:durableId="1830628737">
    <w:abstractNumId w:val="4"/>
  </w:num>
  <w:num w:numId="64" w16cid:durableId="276569695">
    <w:abstractNumId w:val="47"/>
  </w:num>
  <w:num w:numId="65" w16cid:durableId="921370864">
    <w:abstractNumId w:val="47"/>
  </w:num>
  <w:num w:numId="66" w16cid:durableId="1729303644">
    <w:abstractNumId w:val="18"/>
  </w:num>
  <w:num w:numId="67" w16cid:durableId="376658926">
    <w:abstractNumId w:val="65"/>
  </w:num>
  <w:num w:numId="68" w16cid:durableId="1487892705">
    <w:abstractNumId w:val="42"/>
  </w:num>
  <w:num w:numId="69" w16cid:durableId="145128495">
    <w:abstractNumId w:val="11"/>
  </w:num>
  <w:num w:numId="70" w16cid:durableId="1229150261">
    <w:abstractNumId w:val="20"/>
  </w:num>
  <w:num w:numId="71" w16cid:durableId="1444107773">
    <w:abstractNumId w:val="25"/>
  </w:num>
  <w:num w:numId="72" w16cid:durableId="849216208">
    <w:abstractNumId w:val="2"/>
  </w:num>
  <w:num w:numId="73" w16cid:durableId="1546258081">
    <w:abstractNumId w:val="61"/>
  </w:num>
  <w:num w:numId="74" w16cid:durableId="2117022641">
    <w:abstractNumId w:val="33"/>
  </w:num>
  <w:num w:numId="75" w16cid:durableId="1188643601">
    <w:abstractNumId w:val="27"/>
  </w:num>
  <w:num w:numId="76" w16cid:durableId="1477139613">
    <w:abstractNumId w:val="13"/>
  </w:num>
  <w:num w:numId="77" w16cid:durableId="177158888">
    <w:abstractNumId w:val="33"/>
    <w:lvlOverride w:ilvl="0">
      <w:startOverride w:val="1"/>
    </w:lvlOverride>
  </w:num>
  <w:num w:numId="78" w16cid:durableId="1272544040">
    <w:abstractNumId w:val="47"/>
    <w:lvlOverride w:ilvl="0">
      <w:startOverride w:val="1"/>
    </w:lvlOverride>
  </w:num>
  <w:num w:numId="79" w16cid:durableId="141702707">
    <w:abstractNumId w:val="47"/>
    <w:lvlOverride w:ilvl="0">
      <w:startOverride w:val="1"/>
    </w:lvlOverride>
  </w:num>
  <w:num w:numId="80" w16cid:durableId="1568416029">
    <w:abstractNumId w:val="47"/>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2035"/>
    <w:rsid w:val="0005217F"/>
    <w:rsid w:val="0005260D"/>
    <w:rsid w:val="0005272C"/>
    <w:rsid w:val="00052A07"/>
    <w:rsid w:val="00052C7F"/>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F9B"/>
    <w:rsid w:val="000978F2"/>
    <w:rsid w:val="00097A7A"/>
    <w:rsid w:val="00097DFC"/>
    <w:rsid w:val="000A01A7"/>
    <w:rsid w:val="000A054F"/>
    <w:rsid w:val="000A08E8"/>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942"/>
    <w:rsid w:val="000D310A"/>
    <w:rsid w:val="000D3147"/>
    <w:rsid w:val="000D3572"/>
    <w:rsid w:val="000D3B45"/>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6062D"/>
    <w:rsid w:val="00160953"/>
    <w:rsid w:val="00160C3E"/>
    <w:rsid w:val="001610BA"/>
    <w:rsid w:val="001622BF"/>
    <w:rsid w:val="00162518"/>
    <w:rsid w:val="00163028"/>
    <w:rsid w:val="00163054"/>
    <w:rsid w:val="00163486"/>
    <w:rsid w:val="00163780"/>
    <w:rsid w:val="0016382C"/>
    <w:rsid w:val="00163F3C"/>
    <w:rsid w:val="001643B9"/>
    <w:rsid w:val="00164A4C"/>
    <w:rsid w:val="00164ADB"/>
    <w:rsid w:val="00164E53"/>
    <w:rsid w:val="00164F65"/>
    <w:rsid w:val="00165162"/>
    <w:rsid w:val="00165608"/>
    <w:rsid w:val="0016563D"/>
    <w:rsid w:val="001657FE"/>
    <w:rsid w:val="001659C1"/>
    <w:rsid w:val="00165FBD"/>
    <w:rsid w:val="0016621D"/>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EB"/>
    <w:rsid w:val="001837D1"/>
    <w:rsid w:val="00183C41"/>
    <w:rsid w:val="00183D1C"/>
    <w:rsid w:val="001841D7"/>
    <w:rsid w:val="00184259"/>
    <w:rsid w:val="0018462E"/>
    <w:rsid w:val="001848F1"/>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BCE"/>
    <w:rsid w:val="001B1F8F"/>
    <w:rsid w:val="001B2461"/>
    <w:rsid w:val="001B26F9"/>
    <w:rsid w:val="001B2D86"/>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77"/>
    <w:rsid w:val="001B6E84"/>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808"/>
    <w:rsid w:val="00207C3C"/>
    <w:rsid w:val="00207CDF"/>
    <w:rsid w:val="00207FA3"/>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780"/>
    <w:rsid w:val="00244B0B"/>
    <w:rsid w:val="00244E1D"/>
    <w:rsid w:val="00244E6C"/>
    <w:rsid w:val="002458E0"/>
    <w:rsid w:val="002458EB"/>
    <w:rsid w:val="00245A55"/>
    <w:rsid w:val="00245D10"/>
    <w:rsid w:val="00245D18"/>
    <w:rsid w:val="00245F08"/>
    <w:rsid w:val="002463B6"/>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C85"/>
    <w:rsid w:val="00292CB1"/>
    <w:rsid w:val="00292EB7"/>
    <w:rsid w:val="00292F65"/>
    <w:rsid w:val="00293007"/>
    <w:rsid w:val="002932CD"/>
    <w:rsid w:val="0029366B"/>
    <w:rsid w:val="0029388E"/>
    <w:rsid w:val="00293ACB"/>
    <w:rsid w:val="00293BA8"/>
    <w:rsid w:val="00293CFB"/>
    <w:rsid w:val="00293ECF"/>
    <w:rsid w:val="00293F31"/>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578"/>
    <w:rsid w:val="002A170C"/>
    <w:rsid w:val="002A17B6"/>
    <w:rsid w:val="002A18D6"/>
    <w:rsid w:val="002A1D4E"/>
    <w:rsid w:val="002A248E"/>
    <w:rsid w:val="002A2869"/>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930"/>
    <w:rsid w:val="002B0C99"/>
    <w:rsid w:val="002B22BA"/>
    <w:rsid w:val="002B24CC"/>
    <w:rsid w:val="002B24D6"/>
    <w:rsid w:val="002B263A"/>
    <w:rsid w:val="002B26F5"/>
    <w:rsid w:val="002B338E"/>
    <w:rsid w:val="002B3601"/>
    <w:rsid w:val="002B3C3D"/>
    <w:rsid w:val="002B42BF"/>
    <w:rsid w:val="002B4351"/>
    <w:rsid w:val="002B48F4"/>
    <w:rsid w:val="002B48FC"/>
    <w:rsid w:val="002B4E0A"/>
    <w:rsid w:val="002B5389"/>
    <w:rsid w:val="002B5619"/>
    <w:rsid w:val="002B57C8"/>
    <w:rsid w:val="002B5A27"/>
    <w:rsid w:val="002B5EC7"/>
    <w:rsid w:val="002B5F25"/>
    <w:rsid w:val="002B64C3"/>
    <w:rsid w:val="002B6598"/>
    <w:rsid w:val="002B65CF"/>
    <w:rsid w:val="002B67AE"/>
    <w:rsid w:val="002B69FC"/>
    <w:rsid w:val="002B7270"/>
    <w:rsid w:val="002B771F"/>
    <w:rsid w:val="002B7738"/>
    <w:rsid w:val="002B7B35"/>
    <w:rsid w:val="002B7C33"/>
    <w:rsid w:val="002B7D0E"/>
    <w:rsid w:val="002B7DD4"/>
    <w:rsid w:val="002B7E21"/>
    <w:rsid w:val="002C01AA"/>
    <w:rsid w:val="002C08E7"/>
    <w:rsid w:val="002C0A88"/>
    <w:rsid w:val="002C0C0D"/>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4B0"/>
    <w:rsid w:val="003135C3"/>
    <w:rsid w:val="0031366B"/>
    <w:rsid w:val="0031381F"/>
    <w:rsid w:val="00313B84"/>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69A"/>
    <w:rsid w:val="00322C10"/>
    <w:rsid w:val="00322C9F"/>
    <w:rsid w:val="00323ABF"/>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7981"/>
    <w:rsid w:val="00337BCF"/>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729"/>
    <w:rsid w:val="00364F11"/>
    <w:rsid w:val="003651BF"/>
    <w:rsid w:val="003654AE"/>
    <w:rsid w:val="00365BD5"/>
    <w:rsid w:val="00365DC8"/>
    <w:rsid w:val="0036607F"/>
    <w:rsid w:val="00366210"/>
    <w:rsid w:val="00366420"/>
    <w:rsid w:val="00366516"/>
    <w:rsid w:val="00366A53"/>
    <w:rsid w:val="003672A8"/>
    <w:rsid w:val="00367763"/>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A3D"/>
    <w:rsid w:val="00380BA3"/>
    <w:rsid w:val="00380C42"/>
    <w:rsid w:val="00380D11"/>
    <w:rsid w:val="003818F7"/>
    <w:rsid w:val="00381A45"/>
    <w:rsid w:val="00381A59"/>
    <w:rsid w:val="00381B34"/>
    <w:rsid w:val="00381F54"/>
    <w:rsid w:val="0038208E"/>
    <w:rsid w:val="00382976"/>
    <w:rsid w:val="00383CBA"/>
    <w:rsid w:val="00383CD9"/>
    <w:rsid w:val="00384439"/>
    <w:rsid w:val="003845EC"/>
    <w:rsid w:val="003848F2"/>
    <w:rsid w:val="0038497A"/>
    <w:rsid w:val="00384D63"/>
    <w:rsid w:val="00384D69"/>
    <w:rsid w:val="003850B3"/>
    <w:rsid w:val="00385A75"/>
    <w:rsid w:val="00385BF0"/>
    <w:rsid w:val="00385C48"/>
    <w:rsid w:val="00385F26"/>
    <w:rsid w:val="00386209"/>
    <w:rsid w:val="00386331"/>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6F"/>
    <w:rsid w:val="003C570C"/>
    <w:rsid w:val="003C5D7A"/>
    <w:rsid w:val="003C5E7E"/>
    <w:rsid w:val="003C61B5"/>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8BA"/>
    <w:rsid w:val="003D2478"/>
    <w:rsid w:val="003D35D9"/>
    <w:rsid w:val="003D361E"/>
    <w:rsid w:val="003D36A6"/>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897"/>
    <w:rsid w:val="00431A79"/>
    <w:rsid w:val="00431AFD"/>
    <w:rsid w:val="00431B5B"/>
    <w:rsid w:val="00431B93"/>
    <w:rsid w:val="00431C3E"/>
    <w:rsid w:val="00431F7B"/>
    <w:rsid w:val="004321ED"/>
    <w:rsid w:val="00432937"/>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3D6"/>
    <w:rsid w:val="004423F1"/>
    <w:rsid w:val="0044246A"/>
    <w:rsid w:val="004424EF"/>
    <w:rsid w:val="004427B2"/>
    <w:rsid w:val="004429A6"/>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565"/>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531"/>
    <w:rsid w:val="00477768"/>
    <w:rsid w:val="00477FF1"/>
    <w:rsid w:val="0048077A"/>
    <w:rsid w:val="004809F5"/>
    <w:rsid w:val="00481A3E"/>
    <w:rsid w:val="004824A4"/>
    <w:rsid w:val="00482652"/>
    <w:rsid w:val="0048281F"/>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DA7"/>
    <w:rsid w:val="004924A9"/>
    <w:rsid w:val="00492BC5"/>
    <w:rsid w:val="00493224"/>
    <w:rsid w:val="00493573"/>
    <w:rsid w:val="0049384F"/>
    <w:rsid w:val="00493869"/>
    <w:rsid w:val="004938EA"/>
    <w:rsid w:val="00493D54"/>
    <w:rsid w:val="00494081"/>
    <w:rsid w:val="0049488E"/>
    <w:rsid w:val="00494D9B"/>
    <w:rsid w:val="004952A9"/>
    <w:rsid w:val="00496340"/>
    <w:rsid w:val="004964F1"/>
    <w:rsid w:val="004965BA"/>
    <w:rsid w:val="004969E6"/>
    <w:rsid w:val="00496CD2"/>
    <w:rsid w:val="00497307"/>
    <w:rsid w:val="004977A5"/>
    <w:rsid w:val="004A02F1"/>
    <w:rsid w:val="004A0473"/>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7A5"/>
    <w:rsid w:val="004B6750"/>
    <w:rsid w:val="004B6D38"/>
    <w:rsid w:val="004B6E28"/>
    <w:rsid w:val="004B6F6A"/>
    <w:rsid w:val="004B724F"/>
    <w:rsid w:val="004B7311"/>
    <w:rsid w:val="004B7C0C"/>
    <w:rsid w:val="004B7CC9"/>
    <w:rsid w:val="004B7E0E"/>
    <w:rsid w:val="004B7E80"/>
    <w:rsid w:val="004C082D"/>
    <w:rsid w:val="004C096D"/>
    <w:rsid w:val="004C09B9"/>
    <w:rsid w:val="004C0BD1"/>
    <w:rsid w:val="004C0D14"/>
    <w:rsid w:val="004C1956"/>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4C"/>
    <w:rsid w:val="004D3452"/>
    <w:rsid w:val="004D36B1"/>
    <w:rsid w:val="004D372E"/>
    <w:rsid w:val="004D399A"/>
    <w:rsid w:val="004D3D16"/>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439"/>
    <w:rsid w:val="0054690E"/>
    <w:rsid w:val="00546970"/>
    <w:rsid w:val="00546A32"/>
    <w:rsid w:val="00546BA7"/>
    <w:rsid w:val="00546CCE"/>
    <w:rsid w:val="0054704D"/>
    <w:rsid w:val="00547AA5"/>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934"/>
    <w:rsid w:val="00573C1F"/>
    <w:rsid w:val="00573C38"/>
    <w:rsid w:val="00573C82"/>
    <w:rsid w:val="00573C94"/>
    <w:rsid w:val="00573DCC"/>
    <w:rsid w:val="00573ED6"/>
    <w:rsid w:val="00573FA8"/>
    <w:rsid w:val="0057454D"/>
    <w:rsid w:val="005746BD"/>
    <w:rsid w:val="005748E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627"/>
    <w:rsid w:val="00592BDE"/>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4062"/>
    <w:rsid w:val="005A44A2"/>
    <w:rsid w:val="005A44E3"/>
    <w:rsid w:val="005A51BB"/>
    <w:rsid w:val="005A5462"/>
    <w:rsid w:val="005A58E7"/>
    <w:rsid w:val="005A58FB"/>
    <w:rsid w:val="005A5C1C"/>
    <w:rsid w:val="005A5E44"/>
    <w:rsid w:val="005A5F7A"/>
    <w:rsid w:val="005A661A"/>
    <w:rsid w:val="005A662D"/>
    <w:rsid w:val="005A674E"/>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721"/>
    <w:rsid w:val="005E385F"/>
    <w:rsid w:val="005E391C"/>
    <w:rsid w:val="005E3B41"/>
    <w:rsid w:val="005E411E"/>
    <w:rsid w:val="005E43B2"/>
    <w:rsid w:val="005E4595"/>
    <w:rsid w:val="005E486C"/>
    <w:rsid w:val="005E4D59"/>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63A8"/>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F70"/>
    <w:rsid w:val="006120A4"/>
    <w:rsid w:val="0061252F"/>
    <w:rsid w:val="00612942"/>
    <w:rsid w:val="00612992"/>
    <w:rsid w:val="00612A3D"/>
    <w:rsid w:val="00613257"/>
    <w:rsid w:val="006132F6"/>
    <w:rsid w:val="006135D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88"/>
    <w:rsid w:val="00666F2D"/>
    <w:rsid w:val="006670B3"/>
    <w:rsid w:val="00667814"/>
    <w:rsid w:val="0066781C"/>
    <w:rsid w:val="00667B6E"/>
    <w:rsid w:val="00667CFE"/>
    <w:rsid w:val="00667EB0"/>
    <w:rsid w:val="00667EE7"/>
    <w:rsid w:val="00670352"/>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A9C"/>
    <w:rsid w:val="00687CD9"/>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1816"/>
    <w:rsid w:val="006B1BBB"/>
    <w:rsid w:val="006B2099"/>
    <w:rsid w:val="006B20F0"/>
    <w:rsid w:val="006B2561"/>
    <w:rsid w:val="006B27D3"/>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1EA"/>
    <w:rsid w:val="006E6654"/>
    <w:rsid w:val="006E673D"/>
    <w:rsid w:val="006E67A0"/>
    <w:rsid w:val="006E6CDC"/>
    <w:rsid w:val="006E6F14"/>
    <w:rsid w:val="006E6FDA"/>
    <w:rsid w:val="006E73B7"/>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6033"/>
    <w:rsid w:val="007060D8"/>
    <w:rsid w:val="00706101"/>
    <w:rsid w:val="007063CA"/>
    <w:rsid w:val="00706553"/>
    <w:rsid w:val="007066D4"/>
    <w:rsid w:val="00706930"/>
    <w:rsid w:val="00706E25"/>
    <w:rsid w:val="00706EF2"/>
    <w:rsid w:val="00706F3E"/>
    <w:rsid w:val="00707072"/>
    <w:rsid w:val="00707C45"/>
    <w:rsid w:val="00707D61"/>
    <w:rsid w:val="00707E94"/>
    <w:rsid w:val="00710009"/>
    <w:rsid w:val="007102A6"/>
    <w:rsid w:val="007105FA"/>
    <w:rsid w:val="0071064E"/>
    <w:rsid w:val="00710804"/>
    <w:rsid w:val="00710950"/>
    <w:rsid w:val="00710C67"/>
    <w:rsid w:val="00710CD5"/>
    <w:rsid w:val="00711EAF"/>
    <w:rsid w:val="00712287"/>
    <w:rsid w:val="007126D3"/>
    <w:rsid w:val="00712772"/>
    <w:rsid w:val="00712B67"/>
    <w:rsid w:val="0071323C"/>
    <w:rsid w:val="007133CB"/>
    <w:rsid w:val="007133D0"/>
    <w:rsid w:val="0071355B"/>
    <w:rsid w:val="00713B03"/>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B76"/>
    <w:rsid w:val="0074524B"/>
    <w:rsid w:val="007452F1"/>
    <w:rsid w:val="00745526"/>
    <w:rsid w:val="00745897"/>
    <w:rsid w:val="00745A1C"/>
    <w:rsid w:val="00745DFA"/>
    <w:rsid w:val="00745EBA"/>
    <w:rsid w:val="0074617D"/>
    <w:rsid w:val="00746568"/>
    <w:rsid w:val="00746849"/>
    <w:rsid w:val="00746AA8"/>
    <w:rsid w:val="00746C14"/>
    <w:rsid w:val="00746CE9"/>
    <w:rsid w:val="00747040"/>
    <w:rsid w:val="007472F7"/>
    <w:rsid w:val="007474C2"/>
    <w:rsid w:val="00747542"/>
    <w:rsid w:val="0074762C"/>
    <w:rsid w:val="00747CFC"/>
    <w:rsid w:val="00747D8B"/>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942"/>
    <w:rsid w:val="007B304F"/>
    <w:rsid w:val="007B307C"/>
    <w:rsid w:val="007B3AC3"/>
    <w:rsid w:val="007B3D2D"/>
    <w:rsid w:val="007B3DAD"/>
    <w:rsid w:val="007B495C"/>
    <w:rsid w:val="007B4E51"/>
    <w:rsid w:val="007B50AE"/>
    <w:rsid w:val="007B51DF"/>
    <w:rsid w:val="007B520B"/>
    <w:rsid w:val="007B531E"/>
    <w:rsid w:val="007B5B71"/>
    <w:rsid w:val="007B5E5E"/>
    <w:rsid w:val="007B63D5"/>
    <w:rsid w:val="007B71F9"/>
    <w:rsid w:val="007B763C"/>
    <w:rsid w:val="007B77D3"/>
    <w:rsid w:val="007B7AFE"/>
    <w:rsid w:val="007B7C91"/>
    <w:rsid w:val="007C013D"/>
    <w:rsid w:val="007C0208"/>
    <w:rsid w:val="007C04F0"/>
    <w:rsid w:val="007C05DD"/>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175"/>
    <w:rsid w:val="007D12FB"/>
    <w:rsid w:val="007D136E"/>
    <w:rsid w:val="007D1AAF"/>
    <w:rsid w:val="007D1B6C"/>
    <w:rsid w:val="007D1F21"/>
    <w:rsid w:val="007D20DF"/>
    <w:rsid w:val="007D2557"/>
    <w:rsid w:val="007D261C"/>
    <w:rsid w:val="007D3251"/>
    <w:rsid w:val="007D3917"/>
    <w:rsid w:val="007D3DBB"/>
    <w:rsid w:val="007D3E55"/>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441B"/>
    <w:rsid w:val="007E4610"/>
    <w:rsid w:val="007E4715"/>
    <w:rsid w:val="007E49B9"/>
    <w:rsid w:val="007E4BE1"/>
    <w:rsid w:val="007E4C51"/>
    <w:rsid w:val="007E4FC0"/>
    <w:rsid w:val="007E504C"/>
    <w:rsid w:val="007E505B"/>
    <w:rsid w:val="007E51F8"/>
    <w:rsid w:val="007E521A"/>
    <w:rsid w:val="007E55AB"/>
    <w:rsid w:val="007E55DE"/>
    <w:rsid w:val="007E5CDA"/>
    <w:rsid w:val="007E66A1"/>
    <w:rsid w:val="007E6BFD"/>
    <w:rsid w:val="007E6C64"/>
    <w:rsid w:val="007E6D2A"/>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310D"/>
    <w:rsid w:val="007F3F26"/>
    <w:rsid w:val="007F40DC"/>
    <w:rsid w:val="007F4525"/>
    <w:rsid w:val="007F4819"/>
    <w:rsid w:val="007F4EFB"/>
    <w:rsid w:val="007F5CE8"/>
    <w:rsid w:val="007F5E23"/>
    <w:rsid w:val="007F6252"/>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20E"/>
    <w:rsid w:val="008552EA"/>
    <w:rsid w:val="00855329"/>
    <w:rsid w:val="0085564C"/>
    <w:rsid w:val="00855F20"/>
    <w:rsid w:val="00855FB4"/>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41E"/>
    <w:rsid w:val="0086157C"/>
    <w:rsid w:val="00861A66"/>
    <w:rsid w:val="00861F00"/>
    <w:rsid w:val="00862265"/>
    <w:rsid w:val="008622CF"/>
    <w:rsid w:val="00862A69"/>
    <w:rsid w:val="008631B2"/>
    <w:rsid w:val="0086374A"/>
    <w:rsid w:val="0086394D"/>
    <w:rsid w:val="00863DB2"/>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CA2"/>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999"/>
    <w:rsid w:val="008A5C61"/>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42C"/>
    <w:rsid w:val="008B2B53"/>
    <w:rsid w:val="008B2C9B"/>
    <w:rsid w:val="008B30EF"/>
    <w:rsid w:val="008B3462"/>
    <w:rsid w:val="008B370B"/>
    <w:rsid w:val="008B38F5"/>
    <w:rsid w:val="008B3B79"/>
    <w:rsid w:val="008B3DCF"/>
    <w:rsid w:val="008B3DFF"/>
    <w:rsid w:val="008B4024"/>
    <w:rsid w:val="008B4472"/>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AE8"/>
    <w:rsid w:val="008C6BF7"/>
    <w:rsid w:val="008C6C2A"/>
    <w:rsid w:val="008C718E"/>
    <w:rsid w:val="008C7573"/>
    <w:rsid w:val="008C78CF"/>
    <w:rsid w:val="008C79AF"/>
    <w:rsid w:val="008C79F7"/>
    <w:rsid w:val="008C7FBA"/>
    <w:rsid w:val="008D00A5"/>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94E"/>
    <w:rsid w:val="008E4BCC"/>
    <w:rsid w:val="008E4D78"/>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D9"/>
    <w:rsid w:val="0093209A"/>
    <w:rsid w:val="009326D7"/>
    <w:rsid w:val="00932AB3"/>
    <w:rsid w:val="00932C25"/>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5C0"/>
    <w:rsid w:val="00992825"/>
    <w:rsid w:val="00992DF5"/>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A0BAE"/>
    <w:rsid w:val="009A0FBA"/>
    <w:rsid w:val="009A1072"/>
    <w:rsid w:val="009A1243"/>
    <w:rsid w:val="009A140A"/>
    <w:rsid w:val="009A1601"/>
    <w:rsid w:val="009A19CD"/>
    <w:rsid w:val="009A1F32"/>
    <w:rsid w:val="009A2325"/>
    <w:rsid w:val="009A23E5"/>
    <w:rsid w:val="009A28E6"/>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451"/>
    <w:rsid w:val="009B0998"/>
    <w:rsid w:val="009B0D66"/>
    <w:rsid w:val="009B1071"/>
    <w:rsid w:val="009B129D"/>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64C"/>
    <w:rsid w:val="009B564E"/>
    <w:rsid w:val="009B566E"/>
    <w:rsid w:val="009B589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9D5"/>
    <w:rsid w:val="009C2B65"/>
    <w:rsid w:val="009C2F22"/>
    <w:rsid w:val="009C3173"/>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F87"/>
    <w:rsid w:val="009D36F0"/>
    <w:rsid w:val="009D3EA3"/>
    <w:rsid w:val="009D489A"/>
    <w:rsid w:val="009D4FF0"/>
    <w:rsid w:val="009D50EF"/>
    <w:rsid w:val="009D523D"/>
    <w:rsid w:val="009D52D6"/>
    <w:rsid w:val="009D5467"/>
    <w:rsid w:val="009D5502"/>
    <w:rsid w:val="009D56B5"/>
    <w:rsid w:val="009D56B7"/>
    <w:rsid w:val="009D573E"/>
    <w:rsid w:val="009D57E7"/>
    <w:rsid w:val="009D5AA9"/>
    <w:rsid w:val="009D5AC2"/>
    <w:rsid w:val="009D5C7B"/>
    <w:rsid w:val="009D6710"/>
    <w:rsid w:val="009D6970"/>
    <w:rsid w:val="009D703C"/>
    <w:rsid w:val="009D718F"/>
    <w:rsid w:val="009D726E"/>
    <w:rsid w:val="009D76D2"/>
    <w:rsid w:val="009D78EB"/>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1D"/>
    <w:rsid w:val="00A72693"/>
    <w:rsid w:val="00A72947"/>
    <w:rsid w:val="00A72FB8"/>
    <w:rsid w:val="00A7323F"/>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735D"/>
    <w:rsid w:val="00A87586"/>
    <w:rsid w:val="00A876AD"/>
    <w:rsid w:val="00A87A0C"/>
    <w:rsid w:val="00A87A4C"/>
    <w:rsid w:val="00A87E52"/>
    <w:rsid w:val="00A87E6B"/>
    <w:rsid w:val="00A90162"/>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DC4"/>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BD"/>
    <w:rsid w:val="00AF4C82"/>
    <w:rsid w:val="00AF5224"/>
    <w:rsid w:val="00AF53E9"/>
    <w:rsid w:val="00AF5FD0"/>
    <w:rsid w:val="00AF6042"/>
    <w:rsid w:val="00AF739B"/>
    <w:rsid w:val="00AF7532"/>
    <w:rsid w:val="00AF7AE1"/>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F4E"/>
    <w:rsid w:val="00B31510"/>
    <w:rsid w:val="00B31A3A"/>
    <w:rsid w:val="00B31AE6"/>
    <w:rsid w:val="00B31C48"/>
    <w:rsid w:val="00B320FE"/>
    <w:rsid w:val="00B32321"/>
    <w:rsid w:val="00B329F1"/>
    <w:rsid w:val="00B32E00"/>
    <w:rsid w:val="00B331C4"/>
    <w:rsid w:val="00B33C87"/>
    <w:rsid w:val="00B33E1A"/>
    <w:rsid w:val="00B3422E"/>
    <w:rsid w:val="00B3437D"/>
    <w:rsid w:val="00B34385"/>
    <w:rsid w:val="00B34A8B"/>
    <w:rsid w:val="00B34A92"/>
    <w:rsid w:val="00B34BFE"/>
    <w:rsid w:val="00B35649"/>
    <w:rsid w:val="00B356ED"/>
    <w:rsid w:val="00B35EDE"/>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FED"/>
    <w:rsid w:val="00B502B6"/>
    <w:rsid w:val="00B50AC4"/>
    <w:rsid w:val="00B50F19"/>
    <w:rsid w:val="00B5107A"/>
    <w:rsid w:val="00B512E9"/>
    <w:rsid w:val="00B51810"/>
    <w:rsid w:val="00B51FB3"/>
    <w:rsid w:val="00B52197"/>
    <w:rsid w:val="00B52467"/>
    <w:rsid w:val="00B528A5"/>
    <w:rsid w:val="00B52B22"/>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F1A"/>
    <w:rsid w:val="00BD60FB"/>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24F"/>
    <w:rsid w:val="00BE6D9E"/>
    <w:rsid w:val="00BE6DF9"/>
    <w:rsid w:val="00BE6E30"/>
    <w:rsid w:val="00BE7292"/>
    <w:rsid w:val="00BE7406"/>
    <w:rsid w:val="00BE7603"/>
    <w:rsid w:val="00BE774E"/>
    <w:rsid w:val="00BE778F"/>
    <w:rsid w:val="00BE7E8E"/>
    <w:rsid w:val="00BF0020"/>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5B"/>
    <w:rsid w:val="00BF6A9D"/>
    <w:rsid w:val="00BF6DA0"/>
    <w:rsid w:val="00BF6E07"/>
    <w:rsid w:val="00BF6F5F"/>
    <w:rsid w:val="00BF7396"/>
    <w:rsid w:val="00BF74C7"/>
    <w:rsid w:val="00C0126A"/>
    <w:rsid w:val="00C0127C"/>
    <w:rsid w:val="00C012DA"/>
    <w:rsid w:val="00C015F1"/>
    <w:rsid w:val="00C01BCC"/>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8FE"/>
    <w:rsid w:val="00C15C72"/>
    <w:rsid w:val="00C1673F"/>
    <w:rsid w:val="00C1686D"/>
    <w:rsid w:val="00C16C75"/>
    <w:rsid w:val="00C170EA"/>
    <w:rsid w:val="00C17D7A"/>
    <w:rsid w:val="00C17F35"/>
    <w:rsid w:val="00C201AC"/>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6C6"/>
    <w:rsid w:val="00C24BD0"/>
    <w:rsid w:val="00C24E49"/>
    <w:rsid w:val="00C2505B"/>
    <w:rsid w:val="00C25543"/>
    <w:rsid w:val="00C25998"/>
    <w:rsid w:val="00C259CB"/>
    <w:rsid w:val="00C260EF"/>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CB2"/>
    <w:rsid w:val="00C37CED"/>
    <w:rsid w:val="00C37E76"/>
    <w:rsid w:val="00C402E7"/>
    <w:rsid w:val="00C407BE"/>
    <w:rsid w:val="00C4096F"/>
    <w:rsid w:val="00C40C2A"/>
    <w:rsid w:val="00C411F4"/>
    <w:rsid w:val="00C4128D"/>
    <w:rsid w:val="00C41508"/>
    <w:rsid w:val="00C416B8"/>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697"/>
    <w:rsid w:val="00C50C8B"/>
    <w:rsid w:val="00C50CBF"/>
    <w:rsid w:val="00C50EC8"/>
    <w:rsid w:val="00C50FF4"/>
    <w:rsid w:val="00C5199A"/>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6B6"/>
    <w:rsid w:val="00C67999"/>
    <w:rsid w:val="00C67A05"/>
    <w:rsid w:val="00C67F28"/>
    <w:rsid w:val="00C70697"/>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5D"/>
    <w:rsid w:val="00C8068F"/>
    <w:rsid w:val="00C80892"/>
    <w:rsid w:val="00C81568"/>
    <w:rsid w:val="00C8158D"/>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814"/>
    <w:rsid w:val="00C93910"/>
    <w:rsid w:val="00C93921"/>
    <w:rsid w:val="00C93A1F"/>
    <w:rsid w:val="00C93C4B"/>
    <w:rsid w:val="00C93EA9"/>
    <w:rsid w:val="00C94127"/>
    <w:rsid w:val="00C944AB"/>
    <w:rsid w:val="00C94673"/>
    <w:rsid w:val="00C94C74"/>
    <w:rsid w:val="00C94EC9"/>
    <w:rsid w:val="00C951F8"/>
    <w:rsid w:val="00C95B40"/>
    <w:rsid w:val="00C95BC2"/>
    <w:rsid w:val="00C95F85"/>
    <w:rsid w:val="00C96209"/>
    <w:rsid w:val="00C96416"/>
    <w:rsid w:val="00C965C4"/>
    <w:rsid w:val="00C966F8"/>
    <w:rsid w:val="00C967CB"/>
    <w:rsid w:val="00C97189"/>
    <w:rsid w:val="00C97428"/>
    <w:rsid w:val="00CA03A6"/>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4DB"/>
    <w:rsid w:val="00CA374B"/>
    <w:rsid w:val="00CA397A"/>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EC8"/>
    <w:rsid w:val="00CB3F37"/>
    <w:rsid w:val="00CB4F1B"/>
    <w:rsid w:val="00CB568B"/>
    <w:rsid w:val="00CB57C0"/>
    <w:rsid w:val="00CB5DD3"/>
    <w:rsid w:val="00CB653C"/>
    <w:rsid w:val="00CB660B"/>
    <w:rsid w:val="00CB66EE"/>
    <w:rsid w:val="00CB6AE4"/>
    <w:rsid w:val="00CB6D64"/>
    <w:rsid w:val="00CB7170"/>
    <w:rsid w:val="00CB74D8"/>
    <w:rsid w:val="00CB7870"/>
    <w:rsid w:val="00CC032D"/>
    <w:rsid w:val="00CC034F"/>
    <w:rsid w:val="00CC040E"/>
    <w:rsid w:val="00CC0CEF"/>
    <w:rsid w:val="00CC111F"/>
    <w:rsid w:val="00CC15EC"/>
    <w:rsid w:val="00CC1ACE"/>
    <w:rsid w:val="00CC1C2C"/>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5BF"/>
    <w:rsid w:val="00CD5B18"/>
    <w:rsid w:val="00CD5BE7"/>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9"/>
    <w:rsid w:val="00CF233D"/>
    <w:rsid w:val="00CF2433"/>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349B"/>
    <w:rsid w:val="00D0356F"/>
    <w:rsid w:val="00D0370D"/>
    <w:rsid w:val="00D03766"/>
    <w:rsid w:val="00D03960"/>
    <w:rsid w:val="00D04353"/>
    <w:rsid w:val="00D045ED"/>
    <w:rsid w:val="00D04ABA"/>
    <w:rsid w:val="00D04F39"/>
    <w:rsid w:val="00D053C9"/>
    <w:rsid w:val="00D053F1"/>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2125"/>
    <w:rsid w:val="00D325A3"/>
    <w:rsid w:val="00D3283D"/>
    <w:rsid w:val="00D32AC6"/>
    <w:rsid w:val="00D3311F"/>
    <w:rsid w:val="00D33431"/>
    <w:rsid w:val="00D335DD"/>
    <w:rsid w:val="00D33664"/>
    <w:rsid w:val="00D336FD"/>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5040E"/>
    <w:rsid w:val="00D505B0"/>
    <w:rsid w:val="00D50762"/>
    <w:rsid w:val="00D508E4"/>
    <w:rsid w:val="00D50BA2"/>
    <w:rsid w:val="00D50D44"/>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7A9"/>
    <w:rsid w:val="00D72F44"/>
    <w:rsid w:val="00D73270"/>
    <w:rsid w:val="00D734B3"/>
    <w:rsid w:val="00D73C2F"/>
    <w:rsid w:val="00D74058"/>
    <w:rsid w:val="00D743A0"/>
    <w:rsid w:val="00D7450A"/>
    <w:rsid w:val="00D74634"/>
    <w:rsid w:val="00D7489F"/>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61EA"/>
    <w:rsid w:val="00DB6892"/>
    <w:rsid w:val="00DB6A36"/>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5354"/>
    <w:rsid w:val="00DF5580"/>
    <w:rsid w:val="00DF570E"/>
    <w:rsid w:val="00DF57F0"/>
    <w:rsid w:val="00DF5865"/>
    <w:rsid w:val="00DF59DB"/>
    <w:rsid w:val="00DF5BEB"/>
    <w:rsid w:val="00DF6044"/>
    <w:rsid w:val="00DF6AFC"/>
    <w:rsid w:val="00DF702C"/>
    <w:rsid w:val="00DF72E6"/>
    <w:rsid w:val="00DF78D8"/>
    <w:rsid w:val="00DF79A0"/>
    <w:rsid w:val="00DF7C0A"/>
    <w:rsid w:val="00E00489"/>
    <w:rsid w:val="00E00663"/>
    <w:rsid w:val="00E00C45"/>
    <w:rsid w:val="00E018BF"/>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E4D"/>
    <w:rsid w:val="00E1734F"/>
    <w:rsid w:val="00E17505"/>
    <w:rsid w:val="00E17A5F"/>
    <w:rsid w:val="00E17E04"/>
    <w:rsid w:val="00E17FA2"/>
    <w:rsid w:val="00E20002"/>
    <w:rsid w:val="00E201DE"/>
    <w:rsid w:val="00E20FE3"/>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C0C"/>
    <w:rsid w:val="00E32C43"/>
    <w:rsid w:val="00E32D82"/>
    <w:rsid w:val="00E32FB2"/>
    <w:rsid w:val="00E33348"/>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23A"/>
    <w:rsid w:val="00E375BE"/>
    <w:rsid w:val="00E37860"/>
    <w:rsid w:val="00E37C34"/>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234C"/>
    <w:rsid w:val="00E829E6"/>
    <w:rsid w:val="00E82F1E"/>
    <w:rsid w:val="00E8304D"/>
    <w:rsid w:val="00E83089"/>
    <w:rsid w:val="00E8320B"/>
    <w:rsid w:val="00E834A4"/>
    <w:rsid w:val="00E83A77"/>
    <w:rsid w:val="00E83AA9"/>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474"/>
    <w:rsid w:val="00EC4DD3"/>
    <w:rsid w:val="00EC4FD5"/>
    <w:rsid w:val="00EC5653"/>
    <w:rsid w:val="00EC5F30"/>
    <w:rsid w:val="00EC62EE"/>
    <w:rsid w:val="00EC643C"/>
    <w:rsid w:val="00EC6963"/>
    <w:rsid w:val="00EC6A55"/>
    <w:rsid w:val="00EC71CE"/>
    <w:rsid w:val="00EC7273"/>
    <w:rsid w:val="00EC76FA"/>
    <w:rsid w:val="00EC77DF"/>
    <w:rsid w:val="00ED0725"/>
    <w:rsid w:val="00ED0AA1"/>
    <w:rsid w:val="00ED1006"/>
    <w:rsid w:val="00ED1DD4"/>
    <w:rsid w:val="00ED22A0"/>
    <w:rsid w:val="00ED2ED3"/>
    <w:rsid w:val="00ED3198"/>
    <w:rsid w:val="00ED34D9"/>
    <w:rsid w:val="00ED38FE"/>
    <w:rsid w:val="00ED3AAA"/>
    <w:rsid w:val="00ED4055"/>
    <w:rsid w:val="00ED40C1"/>
    <w:rsid w:val="00ED4172"/>
    <w:rsid w:val="00ED5013"/>
    <w:rsid w:val="00ED506B"/>
    <w:rsid w:val="00ED6239"/>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4295"/>
    <w:rsid w:val="00F04383"/>
    <w:rsid w:val="00F04668"/>
    <w:rsid w:val="00F051CF"/>
    <w:rsid w:val="00F0528D"/>
    <w:rsid w:val="00F057B3"/>
    <w:rsid w:val="00F058D0"/>
    <w:rsid w:val="00F05A76"/>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4213"/>
    <w:rsid w:val="00F243D8"/>
    <w:rsid w:val="00F24A16"/>
    <w:rsid w:val="00F24E61"/>
    <w:rsid w:val="00F24E6B"/>
    <w:rsid w:val="00F24F4B"/>
    <w:rsid w:val="00F253D2"/>
    <w:rsid w:val="00F25D1C"/>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DF"/>
    <w:rsid w:val="00F519CE"/>
    <w:rsid w:val="00F51ADA"/>
    <w:rsid w:val="00F520DC"/>
    <w:rsid w:val="00F522F6"/>
    <w:rsid w:val="00F52376"/>
    <w:rsid w:val="00F52D07"/>
    <w:rsid w:val="00F530FE"/>
    <w:rsid w:val="00F539D3"/>
    <w:rsid w:val="00F53AA8"/>
    <w:rsid w:val="00F53AED"/>
    <w:rsid w:val="00F53B68"/>
    <w:rsid w:val="00F54185"/>
    <w:rsid w:val="00F54453"/>
    <w:rsid w:val="00F544F4"/>
    <w:rsid w:val="00F54838"/>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9CB"/>
    <w:rsid w:val="00F70BCA"/>
    <w:rsid w:val="00F70CF0"/>
    <w:rsid w:val="00F70DE4"/>
    <w:rsid w:val="00F71030"/>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96F"/>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44"/>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11001</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Rapp After RAN2#131bis</cp:lastModifiedBy>
  <cp:revision>15</cp:revision>
  <cp:lastPrinted>2008-02-08T21:09:00Z</cp:lastPrinted>
  <dcterms:created xsi:type="dcterms:W3CDTF">2025-11-07T07:45:00Z</dcterms:created>
  <dcterms:modified xsi:type="dcterms:W3CDTF">2025-11-07T08:28:00Z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